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942012" w:displacedByCustomXml="next"/>
    <w:bookmarkEnd w:id="0" w:displacedByCustomXml="next"/>
    <w:sdt>
      <w:sdtPr>
        <w:id w:val="-1855024646"/>
        <w:docPartObj>
          <w:docPartGallery w:val="Cover Pages"/>
          <w:docPartUnique/>
        </w:docPartObj>
      </w:sdtPr>
      <w:sdtEndPr/>
      <w:sdtContent>
        <w:p w14:paraId="1A73DE6D" w14:textId="7ADC2579" w:rsidR="007401E1" w:rsidRDefault="007401E1">
          <w:r w:rsidRPr="007401E1">
            <w:rPr>
              <w:noProof/>
            </w:rPr>
            <w:drawing>
              <wp:anchor distT="0" distB="0" distL="114300" distR="114300" simplePos="0" relativeHeight="251665408" behindDoc="0" locked="0" layoutInCell="1" allowOverlap="1" wp14:anchorId="18821A16" wp14:editId="49BE5221">
                <wp:simplePos x="0" y="0"/>
                <wp:positionH relativeFrom="column">
                  <wp:posOffset>-678180</wp:posOffset>
                </wp:positionH>
                <wp:positionV relativeFrom="paragraph">
                  <wp:posOffset>421005</wp:posOffset>
                </wp:positionV>
                <wp:extent cx="5943600" cy="1323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323975"/>
                        </a:xfrm>
                        <a:prstGeom prst="rect">
                          <a:avLst/>
                        </a:prstGeom>
                        <a:noFill/>
                        <a:ln>
                          <a:noFill/>
                        </a:ln>
                      </pic:spPr>
                    </pic:pic>
                  </a:graphicData>
                </a:graphic>
              </wp:anchor>
            </w:drawing>
          </w:r>
          <w:r>
            <w:rPr>
              <w:noProof/>
            </w:rPr>
            <mc:AlternateContent>
              <mc:Choice Requires="wpg">
                <w:drawing>
                  <wp:anchor distT="0" distB="0" distL="114300" distR="114300" simplePos="0" relativeHeight="251662336" behindDoc="0" locked="0" layoutInCell="1" allowOverlap="1" wp14:anchorId="6A28B8A9" wp14:editId="7A4E94AC">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2802894"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14:paraId="74610ED1" w14:textId="6A968153" w:rsidR="007401E1" w:rsidRDefault="007401E1">
          <w:r>
            <w:rPr>
              <w:noProof/>
            </w:rPr>
            <mc:AlternateContent>
              <mc:Choice Requires="wps">
                <w:drawing>
                  <wp:anchor distT="0" distB="0" distL="114300" distR="114300" simplePos="0" relativeHeight="251659264" behindDoc="0" locked="0" layoutInCell="1" allowOverlap="1" wp14:anchorId="3B4AA4DF" wp14:editId="47D48DFE">
                    <wp:simplePos x="0" y="0"/>
                    <wp:positionH relativeFrom="page">
                      <wp:posOffset>245001</wp:posOffset>
                    </wp:positionH>
                    <wp:positionV relativeFrom="page">
                      <wp:posOffset>2449217</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8E1F5" w14:textId="2C7D9373" w:rsidR="007401E1" w:rsidRPr="007401E1" w:rsidRDefault="00A44E6D">
                                <w:pPr>
                                  <w:jc w:val="right"/>
                                  <w:rPr>
                                    <w:smallCaps/>
                                    <w:color w:val="2F5496" w:themeColor="accent1" w:themeShade="BF"/>
                                    <w:sz w:val="36"/>
                                    <w:szCs w:val="36"/>
                                  </w:rPr>
                                </w:pPr>
                                <w:sdt>
                                  <w:sdtPr>
                                    <w:rPr>
                                      <w:caps/>
                                      <w:color w:val="2F5496" w:themeColor="accent1" w:themeShade="BF"/>
                                      <w:sz w:val="72"/>
                                      <w:szCs w:val="7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E0179">
                                      <w:rPr>
                                        <w:caps/>
                                        <w:color w:val="2F5496" w:themeColor="accent1" w:themeShade="BF"/>
                                        <w:sz w:val="72"/>
                                        <w:szCs w:val="72"/>
                                      </w:rPr>
                                      <w:t>NCNMEDD Revolving Loan Fund Policy</w:t>
                                    </w:r>
                                  </w:sdtContent>
                                </w:sdt>
                                <w:r w:rsidR="007401E1" w:rsidRPr="007401E1">
                                  <w:rPr>
                                    <w:caps/>
                                    <w:color w:val="2F5496" w:themeColor="accent1" w:themeShade="BF"/>
                                    <w:sz w:val="64"/>
                                    <w:szCs w:val="64"/>
                                  </w:rPr>
                                  <w:t xml:space="preserve"> </w:t>
                                </w:r>
                                <w:sdt>
                                  <w:sdtPr>
                                    <w:rPr>
                                      <w:color w:val="2F5496" w:themeColor="accent1" w:themeShade="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7401E1" w:rsidRPr="007401E1">
                                      <w:rPr>
                                        <w:color w:val="2F5496" w:themeColor="accent1" w:themeShade="BF"/>
                                        <w:sz w:val="36"/>
                                        <w:szCs w:val="36"/>
                                      </w:rPr>
                                      <w:t>July 23, 2021</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B4AA4DF" id="_x0000_t202" coordsize="21600,21600" o:spt="202" path="m,l,21600r21600,l21600,xe">
                    <v:stroke joinstyle="miter"/>
                    <v:path gradientshapeok="t" o:connecttype="rect"/>
                  </v:shapetype>
                  <v:shape id="Text Box 154" o:spid="_x0000_s1026" type="#_x0000_t202" style="position:absolute;margin-left:19.3pt;margin-top:192.85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" filled="f" stroked="f" strokeweight=".5pt">
                    <v:textbox inset="126pt,0,54pt,0">
                      <w:txbxContent>
                        <w:p w14:paraId="2FF8E1F5" w14:textId="2C7D9373" w:rsidR="007401E1" w:rsidRPr="007401E1" w:rsidRDefault="00A44E6D">
                          <w:pPr>
                            <w:jc w:val="right"/>
                            <w:rPr>
                              <w:smallCaps/>
                              <w:color w:val="2F5496" w:themeColor="accent1" w:themeShade="BF"/>
                              <w:sz w:val="36"/>
                              <w:szCs w:val="36"/>
                            </w:rPr>
                          </w:pPr>
                          <w:sdt>
                            <w:sdtPr>
                              <w:rPr>
                                <w:caps/>
                                <w:color w:val="2F5496" w:themeColor="accent1" w:themeShade="BF"/>
                                <w:sz w:val="72"/>
                                <w:szCs w:val="7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E0179">
                                <w:rPr>
                                  <w:caps/>
                                  <w:color w:val="2F5496" w:themeColor="accent1" w:themeShade="BF"/>
                                  <w:sz w:val="72"/>
                                  <w:szCs w:val="72"/>
                                </w:rPr>
                                <w:t>NCNMEDD Revolving Loan Fund Policy</w:t>
                              </w:r>
                            </w:sdtContent>
                          </w:sdt>
                          <w:r w:rsidR="007401E1" w:rsidRPr="007401E1">
                            <w:rPr>
                              <w:caps/>
                              <w:color w:val="2F5496" w:themeColor="accent1" w:themeShade="BF"/>
                              <w:sz w:val="64"/>
                              <w:szCs w:val="64"/>
                            </w:rPr>
                            <w:t xml:space="preserve"> </w:t>
                          </w:r>
                          <w:sdt>
                            <w:sdtPr>
                              <w:rPr>
                                <w:color w:val="2F5496" w:themeColor="accent1" w:themeShade="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7401E1" w:rsidRPr="007401E1">
                                <w:rPr>
                                  <w:color w:val="2F5496" w:themeColor="accent1" w:themeShade="BF"/>
                                  <w:sz w:val="36"/>
                                  <w:szCs w:val="36"/>
                                </w:rPr>
                                <w:t>July 23, 2021</w:t>
                              </w:r>
                            </w:sdtContent>
                          </w:sdt>
                        </w:p>
                      </w:txbxContent>
                    </v:textbox>
                    <w10:wrap type="square" anchorx="page" anchory="page"/>
                  </v:shape>
                </w:pict>
              </mc:Fallback>
            </mc:AlternateContent>
          </w:r>
          <w:r>
            <w:br w:type="page"/>
          </w:r>
        </w:p>
        <w:p w14:paraId="4E2AE597" w14:textId="77777777" w:rsidR="007401E1" w:rsidRDefault="00A44E6D">
          <w:pPr>
            <w:rPr>
              <w:rFonts w:asciiTheme="majorHAnsi" w:eastAsiaTheme="majorEastAsia" w:hAnsiTheme="majorHAnsi" w:cstheme="majorBidi"/>
              <w:color w:val="2F5496" w:themeColor="accent1" w:themeShade="BF"/>
              <w:sz w:val="32"/>
              <w:szCs w:val="32"/>
            </w:rPr>
          </w:pPr>
        </w:p>
      </w:sdtContent>
    </w:sdt>
    <w:sdt>
      <w:sdtPr>
        <w:rPr>
          <w:rFonts w:asciiTheme="minorHAnsi" w:eastAsiaTheme="minorHAnsi" w:hAnsiTheme="minorHAnsi" w:cstheme="minorBidi"/>
          <w:color w:val="auto"/>
          <w:sz w:val="22"/>
          <w:szCs w:val="22"/>
        </w:rPr>
        <w:id w:val="1174987349"/>
        <w:docPartObj>
          <w:docPartGallery w:val="Table of Contents"/>
          <w:docPartUnique/>
        </w:docPartObj>
      </w:sdtPr>
      <w:sdtEndPr>
        <w:rPr>
          <w:b/>
          <w:bCs/>
          <w:noProof/>
        </w:rPr>
      </w:sdtEndPr>
      <w:sdtContent>
        <w:p w14:paraId="3CFB8652" w14:textId="4BCE3269" w:rsidR="001A2267" w:rsidRDefault="001A2267">
          <w:pPr>
            <w:pStyle w:val="TOCHeading"/>
          </w:pPr>
          <w:r>
            <w:t>Table of Contents</w:t>
          </w:r>
        </w:p>
        <w:p w14:paraId="342B1237" w14:textId="6E974B65" w:rsidR="00E26029" w:rsidRDefault="001A2267">
          <w:pPr>
            <w:pStyle w:val="TOC1"/>
            <w:tabs>
              <w:tab w:val="left" w:pos="660"/>
              <w:tab w:val="right" w:leader="dot" w:pos="9350"/>
            </w:tabs>
            <w:rPr>
              <w:rFonts w:eastAsiaTheme="minorEastAsia"/>
              <w:noProof/>
            </w:rPr>
          </w:pPr>
          <w:r>
            <w:fldChar w:fldCharType="begin"/>
          </w:r>
          <w:r>
            <w:instrText xml:space="preserve"> TOC \o "1-3" \h \z \u </w:instrText>
          </w:r>
          <w:r>
            <w:fldChar w:fldCharType="separate"/>
          </w:r>
          <w:hyperlink w:anchor="_Toc74578175" w:history="1">
            <w:r w:rsidR="00E26029" w:rsidRPr="000B4C34">
              <w:rPr>
                <w:rStyle w:val="Hyperlink"/>
                <w:noProof/>
              </w:rPr>
              <w:t>1.0</w:t>
            </w:r>
            <w:r w:rsidR="00DE0179">
              <w:rPr>
                <w:rFonts w:eastAsiaTheme="minorEastAsia"/>
                <w:noProof/>
              </w:rPr>
              <w:t xml:space="preserve"> </w:t>
            </w:r>
            <w:r w:rsidR="00E26029" w:rsidRPr="000B4C34">
              <w:rPr>
                <w:rStyle w:val="Hyperlink"/>
                <w:noProof/>
              </w:rPr>
              <w:t>History of NCNMEDD and its Revolving Loan Fund</w:t>
            </w:r>
            <w:r w:rsidR="00E26029">
              <w:rPr>
                <w:noProof/>
                <w:webHidden/>
              </w:rPr>
              <w:tab/>
            </w:r>
            <w:r w:rsidR="00E26029">
              <w:rPr>
                <w:noProof/>
                <w:webHidden/>
              </w:rPr>
              <w:fldChar w:fldCharType="begin"/>
            </w:r>
            <w:r w:rsidR="00E26029">
              <w:rPr>
                <w:noProof/>
                <w:webHidden/>
              </w:rPr>
              <w:instrText xml:space="preserve"> PAGEREF _Toc74578175 \h </w:instrText>
            </w:r>
            <w:r w:rsidR="00E26029">
              <w:rPr>
                <w:noProof/>
                <w:webHidden/>
              </w:rPr>
            </w:r>
            <w:r w:rsidR="00E26029">
              <w:rPr>
                <w:noProof/>
                <w:webHidden/>
              </w:rPr>
              <w:fldChar w:fldCharType="separate"/>
            </w:r>
            <w:r w:rsidR="00E26029">
              <w:rPr>
                <w:noProof/>
                <w:webHidden/>
              </w:rPr>
              <w:t>2</w:t>
            </w:r>
            <w:r w:rsidR="00E26029">
              <w:rPr>
                <w:noProof/>
                <w:webHidden/>
              </w:rPr>
              <w:fldChar w:fldCharType="end"/>
            </w:r>
          </w:hyperlink>
        </w:p>
        <w:p w14:paraId="7366A9AF" w14:textId="52C78CE6" w:rsidR="00E26029" w:rsidRDefault="00A44E6D">
          <w:pPr>
            <w:pStyle w:val="TOC1"/>
            <w:tabs>
              <w:tab w:val="right" w:leader="dot" w:pos="9350"/>
            </w:tabs>
            <w:rPr>
              <w:rFonts w:eastAsiaTheme="minorEastAsia"/>
              <w:noProof/>
            </w:rPr>
          </w:pPr>
          <w:hyperlink w:anchor="_Toc74578176" w:history="1">
            <w:r w:rsidR="00E26029" w:rsidRPr="000B4C34">
              <w:rPr>
                <w:rStyle w:val="Hyperlink"/>
                <w:noProof/>
              </w:rPr>
              <w:t>2.0 Mission</w:t>
            </w:r>
            <w:r w:rsidR="00E26029">
              <w:rPr>
                <w:noProof/>
                <w:webHidden/>
              </w:rPr>
              <w:tab/>
            </w:r>
            <w:r w:rsidR="00E26029">
              <w:rPr>
                <w:noProof/>
                <w:webHidden/>
              </w:rPr>
              <w:fldChar w:fldCharType="begin"/>
            </w:r>
            <w:r w:rsidR="00E26029">
              <w:rPr>
                <w:noProof/>
                <w:webHidden/>
              </w:rPr>
              <w:instrText xml:space="preserve"> PAGEREF _Toc74578176 \h </w:instrText>
            </w:r>
            <w:r w:rsidR="00E26029">
              <w:rPr>
                <w:noProof/>
                <w:webHidden/>
              </w:rPr>
            </w:r>
            <w:r w:rsidR="00E26029">
              <w:rPr>
                <w:noProof/>
                <w:webHidden/>
              </w:rPr>
              <w:fldChar w:fldCharType="separate"/>
            </w:r>
            <w:r w:rsidR="00E26029">
              <w:rPr>
                <w:noProof/>
                <w:webHidden/>
              </w:rPr>
              <w:t>2</w:t>
            </w:r>
            <w:r w:rsidR="00E26029">
              <w:rPr>
                <w:noProof/>
                <w:webHidden/>
              </w:rPr>
              <w:fldChar w:fldCharType="end"/>
            </w:r>
          </w:hyperlink>
        </w:p>
        <w:p w14:paraId="44889962" w14:textId="3E4A52E9" w:rsidR="00E26029" w:rsidRDefault="00A44E6D">
          <w:pPr>
            <w:pStyle w:val="TOC1"/>
            <w:tabs>
              <w:tab w:val="right" w:leader="dot" w:pos="9350"/>
            </w:tabs>
            <w:rPr>
              <w:rFonts w:eastAsiaTheme="minorEastAsia"/>
              <w:noProof/>
            </w:rPr>
          </w:pPr>
          <w:hyperlink w:anchor="_Toc74578177" w:history="1">
            <w:r w:rsidR="00E26029" w:rsidRPr="000B4C34">
              <w:rPr>
                <w:rStyle w:val="Hyperlink"/>
                <w:noProof/>
              </w:rPr>
              <w:t>3.0 Sources of Funds</w:t>
            </w:r>
            <w:r w:rsidR="00E26029">
              <w:rPr>
                <w:noProof/>
                <w:webHidden/>
              </w:rPr>
              <w:tab/>
            </w:r>
            <w:r w:rsidR="00E26029">
              <w:rPr>
                <w:noProof/>
                <w:webHidden/>
              </w:rPr>
              <w:fldChar w:fldCharType="begin"/>
            </w:r>
            <w:r w:rsidR="00E26029">
              <w:rPr>
                <w:noProof/>
                <w:webHidden/>
              </w:rPr>
              <w:instrText xml:space="preserve"> PAGEREF _Toc74578177 \h </w:instrText>
            </w:r>
            <w:r w:rsidR="00E26029">
              <w:rPr>
                <w:noProof/>
                <w:webHidden/>
              </w:rPr>
            </w:r>
            <w:r w:rsidR="00E26029">
              <w:rPr>
                <w:noProof/>
                <w:webHidden/>
              </w:rPr>
              <w:fldChar w:fldCharType="separate"/>
            </w:r>
            <w:r w:rsidR="00E26029">
              <w:rPr>
                <w:noProof/>
                <w:webHidden/>
              </w:rPr>
              <w:t>3</w:t>
            </w:r>
            <w:r w:rsidR="00E26029">
              <w:rPr>
                <w:noProof/>
                <w:webHidden/>
              </w:rPr>
              <w:fldChar w:fldCharType="end"/>
            </w:r>
          </w:hyperlink>
        </w:p>
        <w:p w14:paraId="4771135A" w14:textId="70D781F1" w:rsidR="00E26029" w:rsidRDefault="00A44E6D">
          <w:pPr>
            <w:pStyle w:val="TOC2"/>
            <w:tabs>
              <w:tab w:val="right" w:leader="dot" w:pos="9350"/>
            </w:tabs>
            <w:rPr>
              <w:rFonts w:eastAsiaTheme="minorEastAsia"/>
              <w:noProof/>
            </w:rPr>
          </w:pPr>
          <w:hyperlink w:anchor="_Toc74578178" w:history="1">
            <w:r w:rsidR="00E26029" w:rsidRPr="000B4C34">
              <w:rPr>
                <w:rStyle w:val="Hyperlink"/>
                <w:noProof/>
              </w:rPr>
              <w:t>3.1 TCR Funds:</w:t>
            </w:r>
            <w:r w:rsidR="00E26029">
              <w:rPr>
                <w:noProof/>
                <w:webHidden/>
              </w:rPr>
              <w:tab/>
            </w:r>
            <w:r w:rsidR="00E26029">
              <w:rPr>
                <w:noProof/>
                <w:webHidden/>
              </w:rPr>
              <w:fldChar w:fldCharType="begin"/>
            </w:r>
            <w:r w:rsidR="00E26029">
              <w:rPr>
                <w:noProof/>
                <w:webHidden/>
              </w:rPr>
              <w:instrText xml:space="preserve"> PAGEREF _Toc74578178 \h </w:instrText>
            </w:r>
            <w:r w:rsidR="00E26029">
              <w:rPr>
                <w:noProof/>
                <w:webHidden/>
              </w:rPr>
            </w:r>
            <w:r w:rsidR="00E26029">
              <w:rPr>
                <w:noProof/>
                <w:webHidden/>
              </w:rPr>
              <w:fldChar w:fldCharType="separate"/>
            </w:r>
            <w:r w:rsidR="00E26029">
              <w:rPr>
                <w:noProof/>
                <w:webHidden/>
              </w:rPr>
              <w:t>3</w:t>
            </w:r>
            <w:r w:rsidR="00E26029">
              <w:rPr>
                <w:noProof/>
                <w:webHidden/>
              </w:rPr>
              <w:fldChar w:fldCharType="end"/>
            </w:r>
          </w:hyperlink>
        </w:p>
        <w:p w14:paraId="580039DD" w14:textId="305D0476" w:rsidR="00E26029" w:rsidRDefault="00A44E6D">
          <w:pPr>
            <w:pStyle w:val="TOC2"/>
            <w:tabs>
              <w:tab w:val="right" w:leader="dot" w:pos="9350"/>
            </w:tabs>
            <w:rPr>
              <w:rFonts w:eastAsiaTheme="minorEastAsia"/>
              <w:noProof/>
            </w:rPr>
          </w:pPr>
          <w:hyperlink w:anchor="_Toc74578179" w:history="1">
            <w:r w:rsidR="00E26029" w:rsidRPr="000B4C34">
              <w:rPr>
                <w:rStyle w:val="Hyperlink"/>
                <w:noProof/>
              </w:rPr>
              <w:t>3.2 Defederalized EDA Funds:</w:t>
            </w:r>
            <w:r w:rsidR="00E26029">
              <w:rPr>
                <w:noProof/>
                <w:webHidden/>
              </w:rPr>
              <w:tab/>
            </w:r>
            <w:r w:rsidR="00E26029">
              <w:rPr>
                <w:noProof/>
                <w:webHidden/>
              </w:rPr>
              <w:fldChar w:fldCharType="begin"/>
            </w:r>
            <w:r w:rsidR="00E26029">
              <w:rPr>
                <w:noProof/>
                <w:webHidden/>
              </w:rPr>
              <w:instrText xml:space="preserve"> PAGEREF _Toc74578179 \h </w:instrText>
            </w:r>
            <w:r w:rsidR="00E26029">
              <w:rPr>
                <w:noProof/>
                <w:webHidden/>
              </w:rPr>
            </w:r>
            <w:r w:rsidR="00E26029">
              <w:rPr>
                <w:noProof/>
                <w:webHidden/>
              </w:rPr>
              <w:fldChar w:fldCharType="separate"/>
            </w:r>
            <w:r w:rsidR="00E26029">
              <w:rPr>
                <w:noProof/>
                <w:webHidden/>
              </w:rPr>
              <w:t>3</w:t>
            </w:r>
            <w:r w:rsidR="00E26029">
              <w:rPr>
                <w:noProof/>
                <w:webHidden/>
              </w:rPr>
              <w:fldChar w:fldCharType="end"/>
            </w:r>
          </w:hyperlink>
        </w:p>
        <w:p w14:paraId="1BB8A8C8" w14:textId="02D42384" w:rsidR="00E26029" w:rsidRDefault="00A44E6D">
          <w:pPr>
            <w:pStyle w:val="TOC1"/>
            <w:tabs>
              <w:tab w:val="right" w:leader="dot" w:pos="9350"/>
            </w:tabs>
            <w:rPr>
              <w:rFonts w:eastAsiaTheme="minorEastAsia"/>
              <w:noProof/>
            </w:rPr>
          </w:pPr>
          <w:hyperlink w:anchor="_Toc74578180" w:history="1">
            <w:r w:rsidR="00E26029" w:rsidRPr="000B4C34">
              <w:rPr>
                <w:rStyle w:val="Hyperlink"/>
                <w:noProof/>
              </w:rPr>
              <w:t>4.0 Uses of Funds:</w:t>
            </w:r>
            <w:r w:rsidR="00E26029">
              <w:rPr>
                <w:noProof/>
                <w:webHidden/>
              </w:rPr>
              <w:tab/>
            </w:r>
            <w:r w:rsidR="00E26029">
              <w:rPr>
                <w:noProof/>
                <w:webHidden/>
              </w:rPr>
              <w:fldChar w:fldCharType="begin"/>
            </w:r>
            <w:r w:rsidR="00E26029">
              <w:rPr>
                <w:noProof/>
                <w:webHidden/>
              </w:rPr>
              <w:instrText xml:space="preserve"> PAGEREF _Toc74578180 \h </w:instrText>
            </w:r>
            <w:r w:rsidR="00E26029">
              <w:rPr>
                <w:noProof/>
                <w:webHidden/>
              </w:rPr>
            </w:r>
            <w:r w:rsidR="00E26029">
              <w:rPr>
                <w:noProof/>
                <w:webHidden/>
              </w:rPr>
              <w:fldChar w:fldCharType="separate"/>
            </w:r>
            <w:r w:rsidR="00E26029">
              <w:rPr>
                <w:noProof/>
                <w:webHidden/>
              </w:rPr>
              <w:t>3</w:t>
            </w:r>
            <w:r w:rsidR="00E26029">
              <w:rPr>
                <w:noProof/>
                <w:webHidden/>
              </w:rPr>
              <w:fldChar w:fldCharType="end"/>
            </w:r>
          </w:hyperlink>
        </w:p>
        <w:p w14:paraId="162FBDCD" w14:textId="7EE1077B" w:rsidR="00E26029" w:rsidRDefault="00A44E6D">
          <w:pPr>
            <w:pStyle w:val="TOC2"/>
            <w:tabs>
              <w:tab w:val="right" w:leader="dot" w:pos="9350"/>
            </w:tabs>
            <w:rPr>
              <w:rFonts w:eastAsiaTheme="minorEastAsia"/>
              <w:noProof/>
            </w:rPr>
          </w:pPr>
          <w:hyperlink w:anchor="_Toc74578181" w:history="1">
            <w:r w:rsidR="00E26029" w:rsidRPr="000B4C34">
              <w:rPr>
                <w:rStyle w:val="Hyperlink"/>
                <w:noProof/>
              </w:rPr>
              <w:t xml:space="preserve">4.1 Lending Programs </w:t>
            </w:r>
            <w:r w:rsidR="004F1246">
              <w:rPr>
                <w:rStyle w:val="Hyperlink"/>
                <w:noProof/>
              </w:rPr>
              <w:t>and</w:t>
            </w:r>
            <w:r w:rsidR="00E26029" w:rsidRPr="000B4C34">
              <w:rPr>
                <w:rStyle w:val="Hyperlink"/>
                <w:noProof/>
              </w:rPr>
              <w:t xml:space="preserve"> Loan Products</w:t>
            </w:r>
            <w:r w:rsidR="00E26029">
              <w:rPr>
                <w:noProof/>
                <w:webHidden/>
              </w:rPr>
              <w:tab/>
            </w:r>
            <w:r w:rsidR="00E26029">
              <w:rPr>
                <w:noProof/>
                <w:webHidden/>
              </w:rPr>
              <w:fldChar w:fldCharType="begin"/>
            </w:r>
            <w:r w:rsidR="00E26029">
              <w:rPr>
                <w:noProof/>
                <w:webHidden/>
              </w:rPr>
              <w:instrText xml:space="preserve"> PAGEREF _Toc74578181 \h </w:instrText>
            </w:r>
            <w:r w:rsidR="00E26029">
              <w:rPr>
                <w:noProof/>
                <w:webHidden/>
              </w:rPr>
            </w:r>
            <w:r w:rsidR="00E26029">
              <w:rPr>
                <w:noProof/>
                <w:webHidden/>
              </w:rPr>
              <w:fldChar w:fldCharType="separate"/>
            </w:r>
            <w:r w:rsidR="00E26029">
              <w:rPr>
                <w:noProof/>
                <w:webHidden/>
              </w:rPr>
              <w:t>3</w:t>
            </w:r>
            <w:r w:rsidR="00E26029">
              <w:rPr>
                <w:noProof/>
                <w:webHidden/>
              </w:rPr>
              <w:fldChar w:fldCharType="end"/>
            </w:r>
          </w:hyperlink>
        </w:p>
        <w:p w14:paraId="40911D57" w14:textId="5F534281" w:rsidR="00E26029" w:rsidRDefault="00A44E6D">
          <w:pPr>
            <w:pStyle w:val="TOC2"/>
            <w:tabs>
              <w:tab w:val="right" w:leader="dot" w:pos="9350"/>
            </w:tabs>
            <w:rPr>
              <w:rFonts w:eastAsiaTheme="minorEastAsia"/>
              <w:noProof/>
            </w:rPr>
          </w:pPr>
          <w:hyperlink w:anchor="_Toc74578182" w:history="1">
            <w:r w:rsidR="00E26029" w:rsidRPr="000B4C34">
              <w:rPr>
                <w:rStyle w:val="Hyperlink"/>
                <w:noProof/>
              </w:rPr>
              <w:t>4.2 Capital Base:</w:t>
            </w:r>
            <w:r w:rsidR="00E26029">
              <w:rPr>
                <w:noProof/>
                <w:webHidden/>
              </w:rPr>
              <w:tab/>
            </w:r>
            <w:r w:rsidR="00E26029">
              <w:rPr>
                <w:noProof/>
                <w:webHidden/>
              </w:rPr>
              <w:fldChar w:fldCharType="begin"/>
            </w:r>
            <w:r w:rsidR="00E26029">
              <w:rPr>
                <w:noProof/>
                <w:webHidden/>
              </w:rPr>
              <w:instrText xml:space="preserve"> PAGEREF _Toc74578182 \h </w:instrText>
            </w:r>
            <w:r w:rsidR="00E26029">
              <w:rPr>
                <w:noProof/>
                <w:webHidden/>
              </w:rPr>
            </w:r>
            <w:r w:rsidR="00E26029">
              <w:rPr>
                <w:noProof/>
                <w:webHidden/>
              </w:rPr>
              <w:fldChar w:fldCharType="separate"/>
            </w:r>
            <w:r w:rsidR="00E26029">
              <w:rPr>
                <w:noProof/>
                <w:webHidden/>
              </w:rPr>
              <w:t>3</w:t>
            </w:r>
            <w:r w:rsidR="00E26029">
              <w:rPr>
                <w:noProof/>
                <w:webHidden/>
              </w:rPr>
              <w:fldChar w:fldCharType="end"/>
            </w:r>
          </w:hyperlink>
        </w:p>
        <w:p w14:paraId="1A1F7178" w14:textId="18C2A861" w:rsidR="00E26029" w:rsidRDefault="00A44E6D">
          <w:pPr>
            <w:pStyle w:val="TOC2"/>
            <w:tabs>
              <w:tab w:val="right" w:leader="dot" w:pos="9350"/>
            </w:tabs>
            <w:rPr>
              <w:rFonts w:eastAsiaTheme="minorEastAsia"/>
              <w:noProof/>
            </w:rPr>
          </w:pPr>
          <w:hyperlink w:anchor="_Toc74578183" w:history="1">
            <w:r w:rsidR="00E26029" w:rsidRPr="000B4C34">
              <w:rPr>
                <w:rStyle w:val="Hyperlink"/>
                <w:noProof/>
              </w:rPr>
              <w:t>4.3 Interest and Fees:</w:t>
            </w:r>
            <w:r w:rsidR="00E26029">
              <w:rPr>
                <w:noProof/>
                <w:webHidden/>
              </w:rPr>
              <w:tab/>
            </w:r>
            <w:r w:rsidR="00E26029">
              <w:rPr>
                <w:noProof/>
                <w:webHidden/>
              </w:rPr>
              <w:fldChar w:fldCharType="begin"/>
            </w:r>
            <w:r w:rsidR="00E26029">
              <w:rPr>
                <w:noProof/>
                <w:webHidden/>
              </w:rPr>
              <w:instrText xml:space="preserve"> PAGEREF _Toc74578183 \h </w:instrText>
            </w:r>
            <w:r w:rsidR="00E26029">
              <w:rPr>
                <w:noProof/>
                <w:webHidden/>
              </w:rPr>
            </w:r>
            <w:r w:rsidR="00E26029">
              <w:rPr>
                <w:noProof/>
                <w:webHidden/>
              </w:rPr>
              <w:fldChar w:fldCharType="separate"/>
            </w:r>
            <w:r w:rsidR="00E26029">
              <w:rPr>
                <w:noProof/>
                <w:webHidden/>
              </w:rPr>
              <w:t>3</w:t>
            </w:r>
            <w:r w:rsidR="00E26029">
              <w:rPr>
                <w:noProof/>
                <w:webHidden/>
              </w:rPr>
              <w:fldChar w:fldCharType="end"/>
            </w:r>
          </w:hyperlink>
        </w:p>
        <w:p w14:paraId="4350BA6C" w14:textId="6C2F485E" w:rsidR="00E26029" w:rsidRDefault="00A44E6D">
          <w:pPr>
            <w:pStyle w:val="TOC2"/>
            <w:tabs>
              <w:tab w:val="right" w:leader="dot" w:pos="9350"/>
            </w:tabs>
            <w:rPr>
              <w:rFonts w:eastAsiaTheme="minorEastAsia"/>
              <w:noProof/>
            </w:rPr>
          </w:pPr>
          <w:hyperlink w:anchor="_Toc74578184" w:history="1">
            <w:r w:rsidR="00E26029" w:rsidRPr="000B4C34">
              <w:rPr>
                <w:rStyle w:val="Hyperlink"/>
                <w:noProof/>
              </w:rPr>
              <w:t xml:space="preserve">4.4 Concentration Limits </w:t>
            </w:r>
            <w:r w:rsidR="004F1246">
              <w:rPr>
                <w:rStyle w:val="Hyperlink"/>
                <w:noProof/>
              </w:rPr>
              <w:t>and</w:t>
            </w:r>
            <w:r w:rsidR="00E26029" w:rsidRPr="000B4C34">
              <w:rPr>
                <w:rStyle w:val="Hyperlink"/>
                <w:noProof/>
              </w:rPr>
              <w:t xml:space="preserve"> Portfolio Targets:</w:t>
            </w:r>
            <w:r w:rsidR="00E26029">
              <w:rPr>
                <w:noProof/>
                <w:webHidden/>
              </w:rPr>
              <w:tab/>
            </w:r>
            <w:r w:rsidR="00E26029">
              <w:rPr>
                <w:noProof/>
                <w:webHidden/>
              </w:rPr>
              <w:fldChar w:fldCharType="begin"/>
            </w:r>
            <w:r w:rsidR="00E26029">
              <w:rPr>
                <w:noProof/>
                <w:webHidden/>
              </w:rPr>
              <w:instrText xml:space="preserve"> PAGEREF _Toc74578184 \h </w:instrText>
            </w:r>
            <w:r w:rsidR="00E26029">
              <w:rPr>
                <w:noProof/>
                <w:webHidden/>
              </w:rPr>
            </w:r>
            <w:r w:rsidR="00E26029">
              <w:rPr>
                <w:noProof/>
                <w:webHidden/>
              </w:rPr>
              <w:fldChar w:fldCharType="separate"/>
            </w:r>
            <w:r w:rsidR="00E26029">
              <w:rPr>
                <w:noProof/>
                <w:webHidden/>
              </w:rPr>
              <w:t>4</w:t>
            </w:r>
            <w:r w:rsidR="00E26029">
              <w:rPr>
                <w:noProof/>
                <w:webHidden/>
              </w:rPr>
              <w:fldChar w:fldCharType="end"/>
            </w:r>
          </w:hyperlink>
        </w:p>
        <w:p w14:paraId="0B0C930F" w14:textId="075B4D68" w:rsidR="00E26029" w:rsidRDefault="00A44E6D">
          <w:pPr>
            <w:pStyle w:val="TOC2"/>
            <w:tabs>
              <w:tab w:val="right" w:leader="dot" w:pos="9350"/>
            </w:tabs>
            <w:rPr>
              <w:rFonts w:eastAsiaTheme="minorEastAsia"/>
              <w:noProof/>
            </w:rPr>
          </w:pPr>
          <w:hyperlink w:anchor="_Toc74578185" w:history="1">
            <w:r w:rsidR="00E26029" w:rsidRPr="000B4C34">
              <w:rPr>
                <w:rStyle w:val="Hyperlink"/>
                <w:noProof/>
              </w:rPr>
              <w:t>4.6 Eligibility</w:t>
            </w:r>
            <w:r w:rsidR="00E26029">
              <w:rPr>
                <w:noProof/>
                <w:webHidden/>
              </w:rPr>
              <w:tab/>
            </w:r>
            <w:r w:rsidR="00E26029">
              <w:rPr>
                <w:noProof/>
                <w:webHidden/>
              </w:rPr>
              <w:fldChar w:fldCharType="begin"/>
            </w:r>
            <w:r w:rsidR="00E26029">
              <w:rPr>
                <w:noProof/>
                <w:webHidden/>
              </w:rPr>
              <w:instrText xml:space="preserve"> PAGEREF _Toc74578185 \h </w:instrText>
            </w:r>
            <w:r w:rsidR="00E26029">
              <w:rPr>
                <w:noProof/>
                <w:webHidden/>
              </w:rPr>
            </w:r>
            <w:r w:rsidR="00E26029">
              <w:rPr>
                <w:noProof/>
                <w:webHidden/>
              </w:rPr>
              <w:fldChar w:fldCharType="separate"/>
            </w:r>
            <w:r w:rsidR="00E26029">
              <w:rPr>
                <w:noProof/>
                <w:webHidden/>
              </w:rPr>
              <w:t>4</w:t>
            </w:r>
            <w:r w:rsidR="00E26029">
              <w:rPr>
                <w:noProof/>
                <w:webHidden/>
              </w:rPr>
              <w:fldChar w:fldCharType="end"/>
            </w:r>
          </w:hyperlink>
        </w:p>
        <w:p w14:paraId="7C726769" w14:textId="5988089A" w:rsidR="00E26029" w:rsidRDefault="00A44E6D">
          <w:pPr>
            <w:pStyle w:val="TOC1"/>
            <w:tabs>
              <w:tab w:val="right" w:leader="dot" w:pos="9350"/>
            </w:tabs>
            <w:rPr>
              <w:rFonts w:eastAsiaTheme="minorEastAsia"/>
              <w:noProof/>
            </w:rPr>
          </w:pPr>
          <w:hyperlink w:anchor="_Toc74578186" w:history="1">
            <w:r w:rsidR="00E26029" w:rsidRPr="000B4C34">
              <w:rPr>
                <w:rStyle w:val="Hyperlink"/>
                <w:noProof/>
              </w:rPr>
              <w:t>5.0 Administrative Procedures</w:t>
            </w:r>
            <w:r w:rsidR="00E26029">
              <w:rPr>
                <w:noProof/>
                <w:webHidden/>
              </w:rPr>
              <w:tab/>
            </w:r>
            <w:r w:rsidR="00E26029">
              <w:rPr>
                <w:noProof/>
                <w:webHidden/>
              </w:rPr>
              <w:fldChar w:fldCharType="begin"/>
            </w:r>
            <w:r w:rsidR="00E26029">
              <w:rPr>
                <w:noProof/>
                <w:webHidden/>
              </w:rPr>
              <w:instrText xml:space="preserve"> PAGEREF _Toc74578186 \h </w:instrText>
            </w:r>
            <w:r w:rsidR="00E26029">
              <w:rPr>
                <w:noProof/>
                <w:webHidden/>
              </w:rPr>
            </w:r>
            <w:r w:rsidR="00E26029">
              <w:rPr>
                <w:noProof/>
                <w:webHidden/>
              </w:rPr>
              <w:fldChar w:fldCharType="separate"/>
            </w:r>
            <w:r w:rsidR="00E26029">
              <w:rPr>
                <w:noProof/>
                <w:webHidden/>
              </w:rPr>
              <w:t>5</w:t>
            </w:r>
            <w:r w:rsidR="00E26029">
              <w:rPr>
                <w:noProof/>
                <w:webHidden/>
              </w:rPr>
              <w:fldChar w:fldCharType="end"/>
            </w:r>
          </w:hyperlink>
        </w:p>
        <w:p w14:paraId="4BF6137E" w14:textId="072FBA78" w:rsidR="00E26029" w:rsidRDefault="00A44E6D">
          <w:pPr>
            <w:pStyle w:val="TOC2"/>
            <w:tabs>
              <w:tab w:val="right" w:leader="dot" w:pos="9350"/>
            </w:tabs>
            <w:rPr>
              <w:rFonts w:eastAsiaTheme="minorEastAsia"/>
              <w:noProof/>
            </w:rPr>
          </w:pPr>
          <w:hyperlink w:anchor="_Toc74578187" w:history="1">
            <w:r w:rsidR="00E26029" w:rsidRPr="000B4C34">
              <w:rPr>
                <w:rStyle w:val="Hyperlink"/>
                <w:noProof/>
              </w:rPr>
              <w:t xml:space="preserve">5.1 Delegations of Authority </w:t>
            </w:r>
            <w:r w:rsidR="004F1246">
              <w:rPr>
                <w:rStyle w:val="Hyperlink"/>
                <w:noProof/>
              </w:rPr>
              <w:t>and</w:t>
            </w:r>
            <w:r w:rsidR="00E26029" w:rsidRPr="000B4C34">
              <w:rPr>
                <w:rStyle w:val="Hyperlink"/>
                <w:noProof/>
              </w:rPr>
              <w:t xml:space="preserve"> Responsibility</w:t>
            </w:r>
            <w:r w:rsidR="00E26029">
              <w:rPr>
                <w:noProof/>
                <w:webHidden/>
              </w:rPr>
              <w:tab/>
            </w:r>
            <w:r w:rsidR="00E26029">
              <w:rPr>
                <w:noProof/>
                <w:webHidden/>
              </w:rPr>
              <w:fldChar w:fldCharType="begin"/>
            </w:r>
            <w:r w:rsidR="00E26029">
              <w:rPr>
                <w:noProof/>
                <w:webHidden/>
              </w:rPr>
              <w:instrText xml:space="preserve"> PAGEREF _Toc74578187 \h </w:instrText>
            </w:r>
            <w:r w:rsidR="00E26029">
              <w:rPr>
                <w:noProof/>
                <w:webHidden/>
              </w:rPr>
            </w:r>
            <w:r w:rsidR="00E26029">
              <w:rPr>
                <w:noProof/>
                <w:webHidden/>
              </w:rPr>
              <w:fldChar w:fldCharType="separate"/>
            </w:r>
            <w:r w:rsidR="00E26029">
              <w:rPr>
                <w:noProof/>
                <w:webHidden/>
              </w:rPr>
              <w:t>5</w:t>
            </w:r>
            <w:r w:rsidR="00E26029">
              <w:rPr>
                <w:noProof/>
                <w:webHidden/>
              </w:rPr>
              <w:fldChar w:fldCharType="end"/>
            </w:r>
          </w:hyperlink>
        </w:p>
        <w:p w14:paraId="3A56956D" w14:textId="10F47694" w:rsidR="00E26029" w:rsidRDefault="00A44E6D">
          <w:pPr>
            <w:pStyle w:val="TOC2"/>
            <w:tabs>
              <w:tab w:val="right" w:leader="dot" w:pos="9350"/>
            </w:tabs>
            <w:rPr>
              <w:rFonts w:eastAsiaTheme="minorEastAsia"/>
              <w:noProof/>
            </w:rPr>
          </w:pPr>
          <w:hyperlink w:anchor="_Toc74578188" w:history="1">
            <w:r w:rsidR="00E26029" w:rsidRPr="000B4C34">
              <w:rPr>
                <w:rStyle w:val="Hyperlink"/>
                <w:noProof/>
              </w:rPr>
              <w:t>5.2 Loan Approval Processes</w:t>
            </w:r>
            <w:r w:rsidR="00E26029">
              <w:rPr>
                <w:noProof/>
                <w:webHidden/>
              </w:rPr>
              <w:tab/>
            </w:r>
            <w:r w:rsidR="00E26029">
              <w:rPr>
                <w:noProof/>
                <w:webHidden/>
              </w:rPr>
              <w:fldChar w:fldCharType="begin"/>
            </w:r>
            <w:r w:rsidR="00E26029">
              <w:rPr>
                <w:noProof/>
                <w:webHidden/>
              </w:rPr>
              <w:instrText xml:space="preserve"> PAGEREF _Toc74578188 \h </w:instrText>
            </w:r>
            <w:r w:rsidR="00E26029">
              <w:rPr>
                <w:noProof/>
                <w:webHidden/>
              </w:rPr>
            </w:r>
            <w:r w:rsidR="00E26029">
              <w:rPr>
                <w:noProof/>
                <w:webHidden/>
              </w:rPr>
              <w:fldChar w:fldCharType="separate"/>
            </w:r>
            <w:r w:rsidR="00E26029">
              <w:rPr>
                <w:noProof/>
                <w:webHidden/>
              </w:rPr>
              <w:t>5</w:t>
            </w:r>
            <w:r w:rsidR="00E26029">
              <w:rPr>
                <w:noProof/>
                <w:webHidden/>
              </w:rPr>
              <w:fldChar w:fldCharType="end"/>
            </w:r>
          </w:hyperlink>
        </w:p>
        <w:p w14:paraId="26AF4978" w14:textId="25B0F429" w:rsidR="00E26029" w:rsidRDefault="00A44E6D">
          <w:pPr>
            <w:pStyle w:val="TOC2"/>
            <w:tabs>
              <w:tab w:val="right" w:leader="dot" w:pos="9350"/>
            </w:tabs>
            <w:rPr>
              <w:rFonts w:eastAsiaTheme="minorEastAsia"/>
              <w:noProof/>
            </w:rPr>
          </w:pPr>
          <w:hyperlink w:anchor="_Toc74578189" w:history="1">
            <w:r w:rsidR="00E26029" w:rsidRPr="000B4C34">
              <w:rPr>
                <w:rStyle w:val="Hyperlink"/>
                <w:noProof/>
              </w:rPr>
              <w:t>5.3 Accounting Processes</w:t>
            </w:r>
            <w:r w:rsidR="00E26029">
              <w:rPr>
                <w:noProof/>
                <w:webHidden/>
              </w:rPr>
              <w:tab/>
            </w:r>
            <w:r w:rsidR="00E26029">
              <w:rPr>
                <w:noProof/>
                <w:webHidden/>
              </w:rPr>
              <w:fldChar w:fldCharType="begin"/>
            </w:r>
            <w:r w:rsidR="00E26029">
              <w:rPr>
                <w:noProof/>
                <w:webHidden/>
              </w:rPr>
              <w:instrText xml:space="preserve"> PAGEREF _Toc74578189 \h </w:instrText>
            </w:r>
            <w:r w:rsidR="00E26029">
              <w:rPr>
                <w:noProof/>
                <w:webHidden/>
              </w:rPr>
            </w:r>
            <w:r w:rsidR="00E26029">
              <w:rPr>
                <w:noProof/>
                <w:webHidden/>
              </w:rPr>
              <w:fldChar w:fldCharType="separate"/>
            </w:r>
            <w:r w:rsidR="00E26029">
              <w:rPr>
                <w:noProof/>
                <w:webHidden/>
              </w:rPr>
              <w:t>7</w:t>
            </w:r>
            <w:r w:rsidR="00E26029">
              <w:rPr>
                <w:noProof/>
                <w:webHidden/>
              </w:rPr>
              <w:fldChar w:fldCharType="end"/>
            </w:r>
          </w:hyperlink>
        </w:p>
        <w:p w14:paraId="2DA25663" w14:textId="7CB4673F" w:rsidR="00E26029" w:rsidRDefault="00A44E6D">
          <w:pPr>
            <w:pStyle w:val="TOC2"/>
            <w:tabs>
              <w:tab w:val="right" w:leader="dot" w:pos="9350"/>
            </w:tabs>
            <w:rPr>
              <w:rFonts w:eastAsiaTheme="minorEastAsia"/>
              <w:noProof/>
            </w:rPr>
          </w:pPr>
          <w:hyperlink w:anchor="_Toc74578190" w:history="1">
            <w:r w:rsidR="00E26029" w:rsidRPr="000B4C34">
              <w:rPr>
                <w:rStyle w:val="Hyperlink"/>
                <w:noProof/>
              </w:rPr>
              <w:t>5.4 Reporting</w:t>
            </w:r>
            <w:r w:rsidR="00E26029">
              <w:rPr>
                <w:noProof/>
                <w:webHidden/>
              </w:rPr>
              <w:tab/>
            </w:r>
            <w:r w:rsidR="00E26029">
              <w:rPr>
                <w:noProof/>
                <w:webHidden/>
              </w:rPr>
              <w:fldChar w:fldCharType="begin"/>
            </w:r>
            <w:r w:rsidR="00E26029">
              <w:rPr>
                <w:noProof/>
                <w:webHidden/>
              </w:rPr>
              <w:instrText xml:space="preserve"> PAGEREF _Toc74578190 \h </w:instrText>
            </w:r>
            <w:r w:rsidR="00E26029">
              <w:rPr>
                <w:noProof/>
                <w:webHidden/>
              </w:rPr>
            </w:r>
            <w:r w:rsidR="00E26029">
              <w:rPr>
                <w:noProof/>
                <w:webHidden/>
              </w:rPr>
              <w:fldChar w:fldCharType="separate"/>
            </w:r>
            <w:r w:rsidR="00E26029">
              <w:rPr>
                <w:noProof/>
                <w:webHidden/>
              </w:rPr>
              <w:t>7</w:t>
            </w:r>
            <w:r w:rsidR="00E26029">
              <w:rPr>
                <w:noProof/>
                <w:webHidden/>
              </w:rPr>
              <w:fldChar w:fldCharType="end"/>
            </w:r>
          </w:hyperlink>
        </w:p>
        <w:p w14:paraId="47D8ECFB" w14:textId="1E5E2563" w:rsidR="00E26029" w:rsidRDefault="00A44E6D">
          <w:pPr>
            <w:pStyle w:val="TOC2"/>
            <w:tabs>
              <w:tab w:val="right" w:leader="dot" w:pos="9350"/>
            </w:tabs>
            <w:rPr>
              <w:rFonts w:eastAsiaTheme="minorEastAsia"/>
              <w:noProof/>
            </w:rPr>
          </w:pPr>
          <w:hyperlink w:anchor="_Toc74578191" w:history="1">
            <w:r w:rsidR="00E26029" w:rsidRPr="000B4C34">
              <w:rPr>
                <w:rStyle w:val="Hyperlink"/>
                <w:noProof/>
              </w:rPr>
              <w:t>5.5 Loan Loss Reserve and Risk Ratings</w:t>
            </w:r>
            <w:r w:rsidR="00E26029">
              <w:rPr>
                <w:noProof/>
                <w:webHidden/>
              </w:rPr>
              <w:tab/>
            </w:r>
            <w:r w:rsidR="00E26029">
              <w:rPr>
                <w:noProof/>
                <w:webHidden/>
              </w:rPr>
              <w:fldChar w:fldCharType="begin"/>
            </w:r>
            <w:r w:rsidR="00E26029">
              <w:rPr>
                <w:noProof/>
                <w:webHidden/>
              </w:rPr>
              <w:instrText xml:space="preserve"> PAGEREF _Toc74578191 \h </w:instrText>
            </w:r>
            <w:r w:rsidR="00E26029">
              <w:rPr>
                <w:noProof/>
                <w:webHidden/>
              </w:rPr>
            </w:r>
            <w:r w:rsidR="00E26029">
              <w:rPr>
                <w:noProof/>
                <w:webHidden/>
              </w:rPr>
              <w:fldChar w:fldCharType="separate"/>
            </w:r>
            <w:r w:rsidR="00E26029">
              <w:rPr>
                <w:noProof/>
                <w:webHidden/>
              </w:rPr>
              <w:t>7</w:t>
            </w:r>
            <w:r w:rsidR="00E26029">
              <w:rPr>
                <w:noProof/>
                <w:webHidden/>
              </w:rPr>
              <w:fldChar w:fldCharType="end"/>
            </w:r>
          </w:hyperlink>
        </w:p>
        <w:p w14:paraId="68082AEE" w14:textId="2A223082" w:rsidR="00E26029" w:rsidRDefault="00A44E6D">
          <w:pPr>
            <w:pStyle w:val="TOC2"/>
            <w:tabs>
              <w:tab w:val="right" w:leader="dot" w:pos="9350"/>
            </w:tabs>
            <w:rPr>
              <w:rFonts w:eastAsiaTheme="minorEastAsia"/>
              <w:noProof/>
            </w:rPr>
          </w:pPr>
          <w:hyperlink w:anchor="_Toc74578192" w:history="1">
            <w:r w:rsidR="00E26029" w:rsidRPr="000B4C34">
              <w:rPr>
                <w:rStyle w:val="Hyperlink"/>
                <w:noProof/>
              </w:rPr>
              <w:t>5.6 Loan Servicing and Collections</w:t>
            </w:r>
            <w:r w:rsidR="00E26029">
              <w:rPr>
                <w:noProof/>
                <w:webHidden/>
              </w:rPr>
              <w:tab/>
            </w:r>
            <w:r w:rsidR="00E26029">
              <w:rPr>
                <w:noProof/>
                <w:webHidden/>
              </w:rPr>
              <w:fldChar w:fldCharType="begin"/>
            </w:r>
            <w:r w:rsidR="00E26029">
              <w:rPr>
                <w:noProof/>
                <w:webHidden/>
              </w:rPr>
              <w:instrText xml:space="preserve"> PAGEREF _Toc74578192 \h </w:instrText>
            </w:r>
            <w:r w:rsidR="00E26029">
              <w:rPr>
                <w:noProof/>
                <w:webHidden/>
              </w:rPr>
            </w:r>
            <w:r w:rsidR="00E26029">
              <w:rPr>
                <w:noProof/>
                <w:webHidden/>
              </w:rPr>
              <w:fldChar w:fldCharType="separate"/>
            </w:r>
            <w:r w:rsidR="00E26029">
              <w:rPr>
                <w:noProof/>
                <w:webHidden/>
              </w:rPr>
              <w:t>8</w:t>
            </w:r>
            <w:r w:rsidR="00E26029">
              <w:rPr>
                <w:noProof/>
                <w:webHidden/>
              </w:rPr>
              <w:fldChar w:fldCharType="end"/>
            </w:r>
          </w:hyperlink>
        </w:p>
        <w:p w14:paraId="1C63CCD2" w14:textId="431B0D37" w:rsidR="00E26029" w:rsidRDefault="00A44E6D">
          <w:pPr>
            <w:pStyle w:val="TOC2"/>
            <w:tabs>
              <w:tab w:val="right" w:leader="dot" w:pos="9350"/>
            </w:tabs>
            <w:rPr>
              <w:rFonts w:eastAsiaTheme="minorEastAsia"/>
              <w:noProof/>
            </w:rPr>
          </w:pPr>
          <w:hyperlink w:anchor="_Toc74578193" w:history="1">
            <w:r w:rsidR="00E26029" w:rsidRPr="000B4C34">
              <w:rPr>
                <w:rStyle w:val="Hyperlink"/>
                <w:noProof/>
              </w:rPr>
              <w:t>5.7 Conflicts of Interest</w:t>
            </w:r>
            <w:r w:rsidR="00E26029">
              <w:rPr>
                <w:noProof/>
                <w:webHidden/>
              </w:rPr>
              <w:tab/>
            </w:r>
            <w:r w:rsidR="00E26029">
              <w:rPr>
                <w:noProof/>
                <w:webHidden/>
              </w:rPr>
              <w:fldChar w:fldCharType="begin"/>
            </w:r>
            <w:r w:rsidR="00E26029">
              <w:rPr>
                <w:noProof/>
                <w:webHidden/>
              </w:rPr>
              <w:instrText xml:space="preserve"> PAGEREF _Toc74578193 \h </w:instrText>
            </w:r>
            <w:r w:rsidR="00E26029">
              <w:rPr>
                <w:noProof/>
                <w:webHidden/>
              </w:rPr>
            </w:r>
            <w:r w:rsidR="00E26029">
              <w:rPr>
                <w:noProof/>
                <w:webHidden/>
              </w:rPr>
              <w:fldChar w:fldCharType="separate"/>
            </w:r>
            <w:r w:rsidR="00E26029">
              <w:rPr>
                <w:noProof/>
                <w:webHidden/>
              </w:rPr>
              <w:t>11</w:t>
            </w:r>
            <w:r w:rsidR="00E26029">
              <w:rPr>
                <w:noProof/>
                <w:webHidden/>
              </w:rPr>
              <w:fldChar w:fldCharType="end"/>
            </w:r>
          </w:hyperlink>
        </w:p>
        <w:p w14:paraId="3BB55E65" w14:textId="11D8E27A" w:rsidR="00E26029" w:rsidRDefault="00A44E6D">
          <w:pPr>
            <w:pStyle w:val="TOC1"/>
            <w:tabs>
              <w:tab w:val="right" w:leader="dot" w:pos="9350"/>
            </w:tabs>
            <w:rPr>
              <w:rFonts w:eastAsiaTheme="minorEastAsia"/>
              <w:noProof/>
            </w:rPr>
          </w:pPr>
          <w:hyperlink w:anchor="_Toc74578194" w:history="1">
            <w:r w:rsidR="00E26029" w:rsidRPr="000B4C34">
              <w:rPr>
                <w:rStyle w:val="Hyperlink"/>
                <w:noProof/>
              </w:rPr>
              <w:t>Appendix 1: Summary of SBA Ineligible Businesses</w:t>
            </w:r>
            <w:r w:rsidR="00E26029">
              <w:rPr>
                <w:noProof/>
                <w:webHidden/>
              </w:rPr>
              <w:tab/>
            </w:r>
            <w:r w:rsidR="00E26029">
              <w:rPr>
                <w:noProof/>
                <w:webHidden/>
              </w:rPr>
              <w:fldChar w:fldCharType="begin"/>
            </w:r>
            <w:r w:rsidR="00E26029">
              <w:rPr>
                <w:noProof/>
                <w:webHidden/>
              </w:rPr>
              <w:instrText xml:space="preserve"> PAGEREF _Toc74578194 \h </w:instrText>
            </w:r>
            <w:r w:rsidR="00E26029">
              <w:rPr>
                <w:noProof/>
                <w:webHidden/>
              </w:rPr>
            </w:r>
            <w:r w:rsidR="00E26029">
              <w:rPr>
                <w:noProof/>
                <w:webHidden/>
              </w:rPr>
              <w:fldChar w:fldCharType="separate"/>
            </w:r>
            <w:r w:rsidR="00E26029">
              <w:rPr>
                <w:noProof/>
                <w:webHidden/>
              </w:rPr>
              <w:t>12</w:t>
            </w:r>
            <w:r w:rsidR="00E26029">
              <w:rPr>
                <w:noProof/>
                <w:webHidden/>
              </w:rPr>
              <w:fldChar w:fldCharType="end"/>
            </w:r>
          </w:hyperlink>
        </w:p>
        <w:p w14:paraId="185CD3E1" w14:textId="37F314D2" w:rsidR="001A2267" w:rsidRDefault="001A2267">
          <w:r>
            <w:rPr>
              <w:b/>
              <w:bCs/>
              <w:noProof/>
            </w:rPr>
            <w:fldChar w:fldCharType="end"/>
          </w:r>
        </w:p>
      </w:sdtContent>
    </w:sdt>
    <w:p w14:paraId="74044C0F" w14:textId="77777777" w:rsidR="00E4512E" w:rsidRDefault="00E4512E">
      <w:pPr>
        <w:rPr>
          <w:rFonts w:asciiTheme="majorHAnsi" w:eastAsiaTheme="majorEastAsia" w:hAnsiTheme="majorHAnsi" w:cstheme="majorBidi"/>
          <w:color w:val="2F5496" w:themeColor="accent1" w:themeShade="BF"/>
          <w:sz w:val="32"/>
          <w:szCs w:val="32"/>
        </w:rPr>
      </w:pPr>
      <w:r>
        <w:br w:type="page"/>
      </w:r>
    </w:p>
    <w:p w14:paraId="208D43A4" w14:textId="635B909E" w:rsidR="00EE49F7" w:rsidRPr="000C0581" w:rsidRDefault="004E6126" w:rsidP="004E6126">
      <w:pPr>
        <w:pStyle w:val="Heading1"/>
        <w:numPr>
          <w:ilvl w:val="0"/>
          <w:numId w:val="11"/>
        </w:numPr>
      </w:pPr>
      <w:bookmarkStart w:id="1" w:name="_Toc74578175"/>
      <w:r w:rsidRPr="00433F51">
        <w:lastRenderedPageBreak/>
        <w:t>History of NCNMEDD and its Revolving Loan Fund</w:t>
      </w:r>
      <w:bookmarkEnd w:id="1"/>
    </w:p>
    <w:p w14:paraId="3E5C2C99" w14:textId="764DC50C" w:rsidR="004E6126" w:rsidRPr="00EE49F7" w:rsidRDefault="004E6126" w:rsidP="004E6126">
      <w:pPr>
        <w:pStyle w:val="DefaultText"/>
        <w:rPr>
          <w:rFonts w:asciiTheme="minorHAnsi" w:hAnsiTheme="minorHAnsi" w:cstheme="minorHAnsi"/>
          <w:sz w:val="22"/>
          <w:szCs w:val="22"/>
        </w:rPr>
      </w:pPr>
      <w:r w:rsidRPr="00EE49F7">
        <w:rPr>
          <w:rFonts w:asciiTheme="minorHAnsi" w:hAnsiTheme="minorHAnsi" w:cstheme="minorHAnsi"/>
          <w:sz w:val="22"/>
          <w:szCs w:val="22"/>
        </w:rPr>
        <w:t xml:space="preserve">The origins of the North Central New Mexico Economic Development District (NCNMEDD) date back to passage of the Public Works and Economic Development Act (Public Law 89-136) by the U.S. Congress in 1965.  This legislation created the Economic Development Administration (EDA) under the U. S. Department of Commerce and authorized designated distressed multi-county regions to form economic development districts to promote the socioeconomic environment of their members.  Since then, EDA has provided financial and technical assistance to these economically distressed areas throughout the nation. </w:t>
      </w:r>
    </w:p>
    <w:p w14:paraId="7127B389" w14:textId="77777777" w:rsidR="004E6126" w:rsidRPr="00EE49F7" w:rsidRDefault="004E6126" w:rsidP="004E6126">
      <w:pPr>
        <w:pStyle w:val="DefaultText"/>
        <w:rPr>
          <w:rFonts w:asciiTheme="minorHAnsi" w:hAnsiTheme="minorHAnsi" w:cstheme="minorHAnsi"/>
          <w:sz w:val="22"/>
          <w:szCs w:val="22"/>
        </w:rPr>
      </w:pPr>
    </w:p>
    <w:p w14:paraId="1B1F7353" w14:textId="382BAB19" w:rsidR="004E6126" w:rsidRPr="00EE49F7" w:rsidRDefault="004E6126" w:rsidP="004E6126">
      <w:pPr>
        <w:pStyle w:val="DefaultText"/>
        <w:rPr>
          <w:rFonts w:asciiTheme="minorHAnsi" w:hAnsiTheme="minorHAnsi" w:cstheme="minorHAnsi"/>
          <w:sz w:val="22"/>
          <w:szCs w:val="22"/>
        </w:rPr>
      </w:pPr>
      <w:r w:rsidRPr="00EE49F7">
        <w:rPr>
          <w:rFonts w:asciiTheme="minorHAnsi" w:hAnsiTheme="minorHAnsi" w:cstheme="minorHAnsi"/>
          <w:sz w:val="22"/>
          <w:szCs w:val="22"/>
        </w:rPr>
        <w:t xml:space="preserve">NCNMEDD was created in 1967 by statutory authority of the Joint Powers Agreement (JPA) Act, Section 4-22-1 to 4-22-7, New Mexico Statutes Annotated, to assist local governments to develop and implement a regional economic development program under the authority of PL 89-136.  Communities participating in the JPA are the eight New Mexico counties of Colfax, Los Alamos, Mora, Rio Arriba, San Miguel, </w:t>
      </w:r>
      <w:r w:rsidR="00004BFE" w:rsidRPr="00EE49F7">
        <w:rPr>
          <w:rFonts w:asciiTheme="minorHAnsi" w:hAnsiTheme="minorHAnsi" w:cstheme="minorHAnsi"/>
          <w:sz w:val="22"/>
          <w:szCs w:val="22"/>
        </w:rPr>
        <w:t xml:space="preserve">Sandoval, </w:t>
      </w:r>
      <w:r w:rsidRPr="00EE49F7">
        <w:rPr>
          <w:rFonts w:asciiTheme="minorHAnsi" w:hAnsiTheme="minorHAnsi" w:cstheme="minorHAnsi"/>
          <w:sz w:val="22"/>
          <w:szCs w:val="22"/>
        </w:rPr>
        <w:t>Santa Fe, and Taos, and the City of Santa Fe, New Mexico.</w:t>
      </w:r>
    </w:p>
    <w:p w14:paraId="20980801" w14:textId="77777777" w:rsidR="004E6126" w:rsidRPr="00EE49F7" w:rsidRDefault="004E6126" w:rsidP="004E6126">
      <w:pPr>
        <w:pStyle w:val="DefaultText"/>
        <w:rPr>
          <w:rFonts w:asciiTheme="minorHAnsi" w:hAnsiTheme="minorHAnsi" w:cstheme="minorHAnsi"/>
          <w:sz w:val="22"/>
          <w:szCs w:val="22"/>
        </w:rPr>
      </w:pPr>
    </w:p>
    <w:p w14:paraId="22D4AF57" w14:textId="08292ECB" w:rsidR="00C21D4B" w:rsidRPr="00EE49F7" w:rsidRDefault="004E6126" w:rsidP="00C21D4B">
      <w:pPr>
        <w:pStyle w:val="DefaultText"/>
        <w:rPr>
          <w:rFonts w:asciiTheme="minorHAnsi" w:hAnsiTheme="minorHAnsi" w:cstheme="minorHAnsi"/>
          <w:sz w:val="22"/>
          <w:szCs w:val="22"/>
        </w:rPr>
      </w:pPr>
      <w:r w:rsidRPr="00EE49F7">
        <w:rPr>
          <w:rFonts w:asciiTheme="minorHAnsi" w:hAnsiTheme="minorHAnsi" w:cstheme="minorHAnsi"/>
          <w:sz w:val="22"/>
          <w:szCs w:val="22"/>
        </w:rPr>
        <w:t>NCNMEDD receive</w:t>
      </w:r>
      <w:r w:rsidR="003541E0" w:rsidRPr="00EE49F7">
        <w:rPr>
          <w:rFonts w:asciiTheme="minorHAnsi" w:hAnsiTheme="minorHAnsi" w:cstheme="minorHAnsi"/>
          <w:sz w:val="22"/>
          <w:szCs w:val="22"/>
        </w:rPr>
        <w:t>d</w:t>
      </w:r>
      <w:r w:rsidRPr="00EE49F7">
        <w:rPr>
          <w:rFonts w:asciiTheme="minorHAnsi" w:hAnsiTheme="minorHAnsi" w:cstheme="minorHAnsi"/>
          <w:sz w:val="22"/>
          <w:szCs w:val="22"/>
        </w:rPr>
        <w:t xml:space="preserve"> funding for </w:t>
      </w:r>
      <w:r w:rsidR="003541E0" w:rsidRPr="00EE49F7">
        <w:rPr>
          <w:rFonts w:asciiTheme="minorHAnsi" w:hAnsiTheme="minorHAnsi" w:cstheme="minorHAnsi"/>
          <w:sz w:val="22"/>
          <w:szCs w:val="22"/>
        </w:rPr>
        <w:t>a</w:t>
      </w:r>
      <w:r w:rsidRPr="00EE49F7">
        <w:rPr>
          <w:rFonts w:asciiTheme="minorHAnsi" w:hAnsiTheme="minorHAnsi" w:cstheme="minorHAnsi"/>
          <w:sz w:val="22"/>
          <w:szCs w:val="22"/>
        </w:rPr>
        <w:t xml:space="preserve"> Revolving Loan Fund</w:t>
      </w:r>
      <w:r w:rsidR="00C21D4B" w:rsidRPr="00EE49F7">
        <w:rPr>
          <w:rFonts w:asciiTheme="minorHAnsi" w:hAnsiTheme="minorHAnsi" w:cstheme="minorHAnsi"/>
          <w:sz w:val="22"/>
          <w:szCs w:val="22"/>
        </w:rPr>
        <w:t xml:space="preserve"> (RLF)</w:t>
      </w:r>
      <w:r w:rsidRPr="00EE49F7">
        <w:rPr>
          <w:rFonts w:asciiTheme="minorHAnsi" w:hAnsiTheme="minorHAnsi" w:cstheme="minorHAnsi"/>
          <w:sz w:val="22"/>
          <w:szCs w:val="22"/>
        </w:rPr>
        <w:t xml:space="preserve"> in 198</w:t>
      </w:r>
      <w:r w:rsidR="003C40C5" w:rsidRPr="00EE49F7">
        <w:rPr>
          <w:rFonts w:asciiTheme="minorHAnsi" w:hAnsiTheme="minorHAnsi" w:cstheme="minorHAnsi"/>
          <w:sz w:val="22"/>
          <w:szCs w:val="22"/>
        </w:rPr>
        <w:t>3</w:t>
      </w:r>
      <w:r w:rsidRPr="00EE49F7">
        <w:rPr>
          <w:rFonts w:asciiTheme="minorHAnsi" w:hAnsiTheme="minorHAnsi" w:cstheme="minorHAnsi"/>
          <w:sz w:val="22"/>
          <w:szCs w:val="22"/>
        </w:rPr>
        <w:t xml:space="preserve"> for business gap financing</w:t>
      </w:r>
      <w:r w:rsidR="00C21D4B" w:rsidRPr="00EE49F7">
        <w:rPr>
          <w:rFonts w:asciiTheme="minorHAnsi" w:hAnsiTheme="minorHAnsi" w:cstheme="minorHAnsi"/>
          <w:sz w:val="22"/>
          <w:szCs w:val="22"/>
        </w:rPr>
        <w:t xml:space="preserve"> in the seven counties of Colfax, Los Alamos, Mora, Rio Arriba, San Miguel, Santa Fe, and Taos.</w:t>
      </w:r>
      <w:r w:rsidRPr="00EE49F7">
        <w:rPr>
          <w:rFonts w:asciiTheme="minorHAnsi" w:hAnsiTheme="minorHAnsi" w:cstheme="minorHAnsi"/>
          <w:i/>
          <w:sz w:val="22"/>
          <w:szCs w:val="22"/>
        </w:rPr>
        <w:t xml:space="preserve">  </w:t>
      </w:r>
      <w:r w:rsidRPr="00EE49F7">
        <w:rPr>
          <w:rFonts w:asciiTheme="minorHAnsi" w:hAnsiTheme="minorHAnsi" w:cstheme="minorHAnsi"/>
          <w:sz w:val="22"/>
          <w:szCs w:val="22"/>
        </w:rPr>
        <w:t xml:space="preserve">The </w:t>
      </w:r>
      <w:r w:rsidR="00C21D4B" w:rsidRPr="00EE49F7">
        <w:rPr>
          <w:rFonts w:asciiTheme="minorHAnsi" w:hAnsiTheme="minorHAnsi" w:cstheme="minorHAnsi"/>
          <w:sz w:val="22"/>
          <w:szCs w:val="22"/>
        </w:rPr>
        <w:t xml:space="preserve">RLF </w:t>
      </w:r>
      <w:r w:rsidRPr="00EE49F7">
        <w:rPr>
          <w:rFonts w:asciiTheme="minorHAnsi" w:hAnsiTheme="minorHAnsi" w:cstheme="minorHAnsi"/>
          <w:sz w:val="22"/>
          <w:szCs w:val="22"/>
        </w:rPr>
        <w:t>was initially capitalized with an EDA grant award of $500,000 which was matched with $166,667 in local funding raised by NCNMEDD.  During the life of the funds, this initial investment has allowed NCNMEDD to lend almost $3.5 million to 49 firms</w:t>
      </w:r>
      <w:r w:rsidR="00C21D4B" w:rsidRPr="00EE49F7">
        <w:rPr>
          <w:rFonts w:asciiTheme="minorHAnsi" w:hAnsiTheme="minorHAnsi" w:cstheme="minorHAnsi"/>
          <w:sz w:val="22"/>
          <w:szCs w:val="22"/>
        </w:rPr>
        <w:t xml:space="preserve">. Projects have </w:t>
      </w:r>
      <w:r w:rsidRPr="00EE49F7">
        <w:rPr>
          <w:rFonts w:asciiTheme="minorHAnsi" w:hAnsiTheme="minorHAnsi" w:cstheme="minorHAnsi"/>
          <w:sz w:val="22"/>
          <w:szCs w:val="22"/>
        </w:rPr>
        <w:t xml:space="preserve">generated $15 million of business development activity and </w:t>
      </w:r>
      <w:r w:rsidR="00C21D4B" w:rsidRPr="00EE49F7">
        <w:rPr>
          <w:rFonts w:asciiTheme="minorHAnsi" w:hAnsiTheme="minorHAnsi" w:cstheme="minorHAnsi"/>
          <w:sz w:val="22"/>
          <w:szCs w:val="22"/>
        </w:rPr>
        <w:t xml:space="preserve">have created and retained </w:t>
      </w:r>
      <w:r w:rsidRPr="00EE49F7">
        <w:rPr>
          <w:rFonts w:asciiTheme="minorHAnsi" w:hAnsiTheme="minorHAnsi" w:cstheme="minorHAnsi"/>
          <w:sz w:val="22"/>
          <w:szCs w:val="22"/>
        </w:rPr>
        <w:t xml:space="preserve">over 1,000 jobs created in the region. </w:t>
      </w:r>
    </w:p>
    <w:p w14:paraId="0377C178" w14:textId="545772EC" w:rsidR="004E6126" w:rsidRPr="00EE49F7" w:rsidRDefault="004E6126" w:rsidP="004E6126">
      <w:pPr>
        <w:pStyle w:val="DefaultText"/>
        <w:rPr>
          <w:rFonts w:asciiTheme="minorHAnsi" w:hAnsiTheme="minorHAnsi" w:cstheme="minorHAnsi"/>
          <w:sz w:val="22"/>
          <w:szCs w:val="22"/>
        </w:rPr>
      </w:pPr>
    </w:p>
    <w:p w14:paraId="6019D58F" w14:textId="31D74BEC" w:rsidR="00004BFE" w:rsidRPr="00EE49F7" w:rsidRDefault="004E6126" w:rsidP="004E6126">
      <w:pPr>
        <w:pStyle w:val="DefaultText"/>
        <w:rPr>
          <w:rFonts w:asciiTheme="minorHAnsi" w:hAnsiTheme="minorHAnsi" w:cstheme="minorHAnsi"/>
          <w:sz w:val="22"/>
          <w:szCs w:val="22"/>
        </w:rPr>
      </w:pPr>
      <w:r w:rsidRPr="00EE49F7">
        <w:rPr>
          <w:rFonts w:asciiTheme="minorHAnsi" w:hAnsiTheme="minorHAnsi" w:cstheme="minorHAnsi"/>
          <w:sz w:val="22"/>
          <w:szCs w:val="22"/>
        </w:rPr>
        <w:t xml:space="preserve">As a requirement of </w:t>
      </w:r>
      <w:r w:rsidR="00004BFE" w:rsidRPr="00EE49F7">
        <w:rPr>
          <w:rFonts w:asciiTheme="minorHAnsi" w:hAnsiTheme="minorHAnsi" w:cstheme="minorHAnsi"/>
          <w:sz w:val="22"/>
          <w:szCs w:val="22"/>
        </w:rPr>
        <w:t>EDA</w:t>
      </w:r>
      <w:r w:rsidRPr="00EE49F7">
        <w:rPr>
          <w:rFonts w:asciiTheme="minorHAnsi" w:hAnsiTheme="minorHAnsi" w:cstheme="minorHAnsi"/>
          <w:sz w:val="22"/>
          <w:szCs w:val="22"/>
        </w:rPr>
        <w:t xml:space="preserve">, NCNMEDD adopted a Revolving Loan Fund Plan in 1985.  The Plan was modified in 1998, 2009, 2018 and again in 2020 </w:t>
      </w:r>
      <w:r w:rsidR="00B968C1" w:rsidRPr="00EE49F7">
        <w:rPr>
          <w:rFonts w:asciiTheme="minorHAnsi" w:hAnsiTheme="minorHAnsi" w:cstheme="minorHAnsi"/>
          <w:sz w:val="22"/>
          <w:szCs w:val="22"/>
        </w:rPr>
        <w:t>to reflect</w:t>
      </w:r>
      <w:r w:rsidRPr="00EE49F7">
        <w:rPr>
          <w:rFonts w:asciiTheme="minorHAnsi" w:hAnsiTheme="minorHAnsi" w:cstheme="minorHAnsi"/>
          <w:sz w:val="22"/>
          <w:szCs w:val="22"/>
        </w:rPr>
        <w:t xml:space="preserve"> </w:t>
      </w:r>
      <w:r w:rsidR="00C21D4B" w:rsidRPr="00EE49F7">
        <w:rPr>
          <w:rFonts w:asciiTheme="minorHAnsi" w:hAnsiTheme="minorHAnsi" w:cstheme="minorHAnsi"/>
          <w:sz w:val="22"/>
          <w:szCs w:val="22"/>
        </w:rPr>
        <w:t>EDA</w:t>
      </w:r>
      <w:r w:rsidRPr="00EE49F7">
        <w:rPr>
          <w:rFonts w:asciiTheme="minorHAnsi" w:hAnsiTheme="minorHAnsi" w:cstheme="minorHAnsi"/>
          <w:sz w:val="22"/>
          <w:szCs w:val="22"/>
        </w:rPr>
        <w:t xml:space="preserve"> </w:t>
      </w:r>
      <w:r w:rsidR="00C21D4B" w:rsidRPr="00EE49F7">
        <w:rPr>
          <w:rFonts w:asciiTheme="minorHAnsi" w:hAnsiTheme="minorHAnsi" w:cstheme="minorHAnsi"/>
          <w:sz w:val="22"/>
          <w:szCs w:val="22"/>
        </w:rPr>
        <w:t xml:space="preserve">RLF </w:t>
      </w:r>
      <w:r w:rsidR="00195F12" w:rsidRPr="00EE49F7">
        <w:rPr>
          <w:rFonts w:asciiTheme="minorHAnsi" w:hAnsiTheme="minorHAnsi" w:cstheme="minorHAnsi"/>
          <w:sz w:val="22"/>
          <w:szCs w:val="22"/>
        </w:rPr>
        <w:t>f</w:t>
      </w:r>
      <w:r w:rsidRPr="00EE49F7">
        <w:rPr>
          <w:rFonts w:asciiTheme="minorHAnsi" w:hAnsiTheme="minorHAnsi" w:cstheme="minorHAnsi"/>
          <w:sz w:val="22"/>
          <w:szCs w:val="22"/>
        </w:rPr>
        <w:t xml:space="preserve">unding </w:t>
      </w:r>
      <w:r w:rsidR="00004BFE" w:rsidRPr="00EE49F7">
        <w:rPr>
          <w:rFonts w:asciiTheme="minorHAnsi" w:hAnsiTheme="minorHAnsi" w:cstheme="minorHAnsi"/>
          <w:sz w:val="22"/>
          <w:szCs w:val="22"/>
        </w:rPr>
        <w:t xml:space="preserve">in the amount of $500,000 </w:t>
      </w:r>
      <w:r w:rsidRPr="00EE49F7">
        <w:rPr>
          <w:rFonts w:asciiTheme="minorHAnsi" w:hAnsiTheme="minorHAnsi" w:cstheme="minorHAnsi"/>
          <w:sz w:val="22"/>
          <w:szCs w:val="22"/>
        </w:rPr>
        <w:t xml:space="preserve">from the </w:t>
      </w:r>
      <w:r w:rsidR="00004BFE" w:rsidRPr="00EE49F7">
        <w:rPr>
          <w:rFonts w:asciiTheme="minorHAnsi" w:hAnsiTheme="minorHAnsi" w:cstheme="minorHAnsi"/>
          <w:sz w:val="22"/>
          <w:szCs w:val="22"/>
        </w:rPr>
        <w:t>Coronavirus Aid, Relief, and Economic Security</w:t>
      </w:r>
      <w:r w:rsidR="001E67A4">
        <w:rPr>
          <w:rFonts w:asciiTheme="minorHAnsi" w:hAnsiTheme="minorHAnsi" w:cstheme="minorHAnsi"/>
          <w:sz w:val="22"/>
          <w:szCs w:val="22"/>
        </w:rPr>
        <w:t xml:space="preserve"> (CARES)</w:t>
      </w:r>
      <w:r w:rsidR="00004BFE" w:rsidRPr="00EE49F7">
        <w:rPr>
          <w:rFonts w:asciiTheme="minorHAnsi" w:hAnsiTheme="minorHAnsi" w:cstheme="minorHAnsi"/>
          <w:sz w:val="22"/>
          <w:szCs w:val="22"/>
        </w:rPr>
        <w:t xml:space="preserve"> Act of 2020</w:t>
      </w:r>
      <w:r w:rsidRPr="00EE49F7">
        <w:rPr>
          <w:rFonts w:asciiTheme="minorHAnsi" w:hAnsiTheme="minorHAnsi" w:cstheme="minorHAnsi"/>
          <w:sz w:val="22"/>
          <w:szCs w:val="22"/>
        </w:rPr>
        <w:t xml:space="preserve">, which NCNMEDD used to create </w:t>
      </w:r>
      <w:r w:rsidR="00673FFB" w:rsidRPr="00EE49F7">
        <w:rPr>
          <w:rFonts w:asciiTheme="minorHAnsi" w:hAnsiTheme="minorHAnsi" w:cstheme="minorHAnsi"/>
          <w:sz w:val="22"/>
          <w:szCs w:val="22"/>
        </w:rPr>
        <w:t>a new</w:t>
      </w:r>
      <w:r w:rsidRPr="00EE49F7">
        <w:rPr>
          <w:rFonts w:asciiTheme="minorHAnsi" w:hAnsiTheme="minorHAnsi" w:cstheme="minorHAnsi"/>
          <w:sz w:val="22"/>
          <w:szCs w:val="22"/>
        </w:rPr>
        <w:t xml:space="preserve"> loan program. </w:t>
      </w:r>
    </w:p>
    <w:p w14:paraId="4E9DD705" w14:textId="77777777" w:rsidR="00004BFE" w:rsidRPr="00EE49F7" w:rsidRDefault="00004BFE" w:rsidP="004E6126">
      <w:pPr>
        <w:pStyle w:val="DefaultText"/>
        <w:rPr>
          <w:rFonts w:asciiTheme="minorHAnsi" w:hAnsiTheme="minorHAnsi" w:cstheme="minorHAnsi"/>
          <w:sz w:val="22"/>
          <w:szCs w:val="22"/>
        </w:rPr>
      </w:pPr>
    </w:p>
    <w:p w14:paraId="2400683B" w14:textId="0B57DC8F" w:rsidR="004E6126" w:rsidRPr="00E300E9" w:rsidRDefault="004E6126" w:rsidP="004E6126">
      <w:pPr>
        <w:pStyle w:val="DefaultText"/>
        <w:rPr>
          <w:rFonts w:asciiTheme="minorHAnsi" w:hAnsiTheme="minorHAnsi" w:cstheme="minorHAnsi"/>
          <w:i/>
          <w:iCs/>
          <w:sz w:val="22"/>
          <w:szCs w:val="22"/>
        </w:rPr>
      </w:pPr>
      <w:r w:rsidRPr="00EE49F7">
        <w:rPr>
          <w:rFonts w:asciiTheme="minorHAnsi" w:hAnsiTheme="minorHAnsi" w:cstheme="minorHAnsi"/>
          <w:sz w:val="22"/>
          <w:szCs w:val="22"/>
        </w:rPr>
        <w:t>In 2020</w:t>
      </w:r>
      <w:r w:rsidR="00004BFE" w:rsidRPr="00EE49F7">
        <w:rPr>
          <w:rFonts w:asciiTheme="minorHAnsi" w:hAnsiTheme="minorHAnsi" w:cstheme="minorHAnsi"/>
          <w:sz w:val="22"/>
          <w:szCs w:val="22"/>
        </w:rPr>
        <w:t>, the federal government passed the Reinvigorating Lending for the Future Act (RLF Act) which enable</w:t>
      </w:r>
      <w:r w:rsidR="00195F12" w:rsidRPr="00EE49F7">
        <w:rPr>
          <w:rFonts w:asciiTheme="minorHAnsi" w:hAnsiTheme="minorHAnsi" w:cstheme="minorHAnsi"/>
          <w:sz w:val="22"/>
          <w:szCs w:val="22"/>
        </w:rPr>
        <w:t>d</w:t>
      </w:r>
      <w:r w:rsidR="00004BFE" w:rsidRPr="00EE49F7">
        <w:rPr>
          <w:rFonts w:asciiTheme="minorHAnsi" w:hAnsiTheme="minorHAnsi" w:cstheme="minorHAnsi"/>
          <w:sz w:val="22"/>
          <w:szCs w:val="22"/>
        </w:rPr>
        <w:t xml:space="preserve"> EDA to release the federal interest in RLF awards for which the final disbursement occurred more than seven years ago. NCNMEDD </w:t>
      </w:r>
      <w:r w:rsidR="00FD726F" w:rsidRPr="00EE49F7">
        <w:rPr>
          <w:rFonts w:asciiTheme="minorHAnsi" w:hAnsiTheme="minorHAnsi" w:cstheme="minorHAnsi"/>
          <w:sz w:val="22"/>
          <w:szCs w:val="22"/>
        </w:rPr>
        <w:t>requested</w:t>
      </w:r>
      <w:r w:rsidR="00004BFE" w:rsidRPr="00EE49F7">
        <w:rPr>
          <w:rFonts w:asciiTheme="minorHAnsi" w:hAnsiTheme="minorHAnsi" w:cstheme="minorHAnsi"/>
          <w:sz w:val="22"/>
          <w:szCs w:val="22"/>
        </w:rPr>
        <w:t xml:space="preserve"> defederalization in March 2021 for its original EDA </w:t>
      </w:r>
      <w:r w:rsidR="00986DC1" w:rsidRPr="00EE49F7">
        <w:rPr>
          <w:rFonts w:asciiTheme="minorHAnsi" w:hAnsiTheme="minorHAnsi" w:cstheme="minorHAnsi"/>
          <w:sz w:val="22"/>
          <w:szCs w:val="22"/>
        </w:rPr>
        <w:t>award</w:t>
      </w:r>
      <w:r w:rsidR="00004BFE" w:rsidRPr="00EE49F7">
        <w:rPr>
          <w:rFonts w:asciiTheme="minorHAnsi" w:hAnsiTheme="minorHAnsi" w:cstheme="minorHAnsi"/>
          <w:sz w:val="22"/>
          <w:szCs w:val="22"/>
        </w:rPr>
        <w:t xml:space="preserve"> from 198</w:t>
      </w:r>
      <w:r w:rsidR="00EA2E24" w:rsidRPr="00EE49F7">
        <w:rPr>
          <w:rFonts w:asciiTheme="minorHAnsi" w:hAnsiTheme="minorHAnsi" w:cstheme="minorHAnsi"/>
          <w:sz w:val="22"/>
          <w:szCs w:val="22"/>
        </w:rPr>
        <w:t>3</w:t>
      </w:r>
      <w:r w:rsidR="00004BFE" w:rsidRPr="00EE49F7">
        <w:rPr>
          <w:rFonts w:asciiTheme="minorHAnsi" w:hAnsiTheme="minorHAnsi" w:cstheme="minorHAnsi"/>
          <w:sz w:val="22"/>
          <w:szCs w:val="22"/>
        </w:rPr>
        <w:t xml:space="preserve">. EDA approved the defederalization request on </w:t>
      </w:r>
      <w:r w:rsidR="00B503F7">
        <w:rPr>
          <w:rFonts w:asciiTheme="minorHAnsi" w:hAnsiTheme="minorHAnsi" w:cstheme="minorHAnsi"/>
          <w:sz w:val="22"/>
          <w:szCs w:val="22"/>
        </w:rPr>
        <w:t>May 3, 2021</w:t>
      </w:r>
      <w:r w:rsidR="00842DE9" w:rsidRPr="00EE49F7">
        <w:rPr>
          <w:rFonts w:asciiTheme="minorHAnsi" w:hAnsiTheme="minorHAnsi" w:cstheme="minorHAnsi"/>
          <w:sz w:val="22"/>
          <w:szCs w:val="22"/>
        </w:rPr>
        <w:t xml:space="preserve">. </w:t>
      </w:r>
    </w:p>
    <w:p w14:paraId="06C73F84" w14:textId="49959876" w:rsidR="00004BFE" w:rsidRPr="00EE49F7" w:rsidRDefault="00004BFE" w:rsidP="004E6126">
      <w:pPr>
        <w:pStyle w:val="DefaultText"/>
        <w:rPr>
          <w:rFonts w:asciiTheme="minorHAnsi" w:hAnsiTheme="minorHAnsi" w:cstheme="minorHAnsi"/>
          <w:sz w:val="22"/>
          <w:szCs w:val="22"/>
        </w:rPr>
      </w:pPr>
    </w:p>
    <w:p w14:paraId="616EC9AB" w14:textId="68FF094A" w:rsidR="004E6126" w:rsidRPr="00EE49F7" w:rsidRDefault="00C21D4B" w:rsidP="004E6126">
      <w:pPr>
        <w:rPr>
          <w:rFonts w:cstheme="minorHAnsi"/>
        </w:rPr>
      </w:pPr>
      <w:r w:rsidRPr="00EE49F7">
        <w:rPr>
          <w:rFonts w:cstheme="minorHAnsi"/>
        </w:rPr>
        <w:t xml:space="preserve">This Policy applies to </w:t>
      </w:r>
      <w:r w:rsidR="001E67A4">
        <w:rPr>
          <w:rFonts w:cstheme="minorHAnsi"/>
        </w:rPr>
        <w:t xml:space="preserve">these defederalized funds as well as </w:t>
      </w:r>
      <w:r w:rsidRPr="00EE49F7">
        <w:rPr>
          <w:rFonts w:cstheme="minorHAnsi"/>
        </w:rPr>
        <w:t xml:space="preserve">the local match for </w:t>
      </w:r>
      <w:r w:rsidR="001E67A4">
        <w:rPr>
          <w:rFonts w:cstheme="minorHAnsi"/>
        </w:rPr>
        <w:t xml:space="preserve">the 1983 </w:t>
      </w:r>
      <w:r w:rsidRPr="00EE49F7">
        <w:rPr>
          <w:rFonts w:cstheme="minorHAnsi"/>
        </w:rPr>
        <w:t xml:space="preserve">award. </w:t>
      </w:r>
      <w:r w:rsidR="000C1AFB">
        <w:rPr>
          <w:rFonts w:cstheme="minorHAnsi"/>
        </w:rPr>
        <w:t>At the date of this policy’s adoption, t</w:t>
      </w:r>
      <w:r w:rsidRPr="00EE49F7">
        <w:rPr>
          <w:rFonts w:cstheme="minorHAnsi"/>
        </w:rPr>
        <w:t xml:space="preserve">he $500,000 EDA CARES Act award from 2020 </w:t>
      </w:r>
      <w:r w:rsidR="000C1AFB">
        <w:rPr>
          <w:rFonts w:cstheme="minorHAnsi"/>
        </w:rPr>
        <w:t>did</w:t>
      </w:r>
      <w:r w:rsidRPr="00EE49F7">
        <w:rPr>
          <w:rFonts w:cstheme="minorHAnsi"/>
        </w:rPr>
        <w:t xml:space="preserve"> not qualify for defederalization and remains governed by NCNMEDD’s Revolving Loan Fund Plan. </w:t>
      </w:r>
    </w:p>
    <w:p w14:paraId="26B62488" w14:textId="2D33DEBD" w:rsidR="00C0164D" w:rsidRPr="00CD5193" w:rsidRDefault="00EA2E24" w:rsidP="00E26029">
      <w:pPr>
        <w:pStyle w:val="Heading1"/>
      </w:pPr>
      <w:bookmarkStart w:id="2" w:name="_Toc74578176"/>
      <w:r>
        <w:t xml:space="preserve">2.0 </w:t>
      </w:r>
      <w:r w:rsidR="00C0164D" w:rsidRPr="00CD5193">
        <w:t>Mission</w:t>
      </w:r>
      <w:bookmarkEnd w:id="2"/>
    </w:p>
    <w:p w14:paraId="201509B5" w14:textId="6510174A" w:rsidR="00F042A2" w:rsidRPr="00EE49F7" w:rsidRDefault="00C0164D" w:rsidP="00C0164D">
      <w:pPr>
        <w:rPr>
          <w:rFonts w:cstheme="minorHAnsi"/>
        </w:rPr>
      </w:pPr>
      <w:r w:rsidRPr="00EE49F7">
        <w:rPr>
          <w:rFonts w:cstheme="minorHAnsi"/>
        </w:rPr>
        <w:t xml:space="preserve">NCNMEDD will use </w:t>
      </w:r>
      <w:r w:rsidR="001E67A4">
        <w:rPr>
          <w:rFonts w:cstheme="minorHAnsi"/>
        </w:rPr>
        <w:t>its RLF</w:t>
      </w:r>
      <w:r w:rsidRPr="00EE49F7">
        <w:rPr>
          <w:rFonts w:cstheme="minorHAnsi"/>
        </w:rPr>
        <w:t xml:space="preserve"> to support and sustain economic and job growth and to fill gaps in financing for the region</w:t>
      </w:r>
      <w:r w:rsidR="0094350A" w:rsidRPr="00EE49F7">
        <w:rPr>
          <w:rFonts w:cstheme="minorHAnsi"/>
        </w:rPr>
        <w:t xml:space="preserve">, which includes Colfax, Los Alamos, Mora, Rio Arriba, San Miguel, Santa Fe, </w:t>
      </w:r>
      <w:r w:rsidR="00B503F7" w:rsidRPr="00EE49F7">
        <w:rPr>
          <w:rFonts w:cstheme="minorHAnsi"/>
        </w:rPr>
        <w:t>Taos,</w:t>
      </w:r>
      <w:r w:rsidR="0094350A" w:rsidRPr="00EE49F7">
        <w:rPr>
          <w:rFonts w:cstheme="minorHAnsi"/>
        </w:rPr>
        <w:t xml:space="preserve"> and rural Sandoval County.</w:t>
      </w:r>
      <w:r w:rsidR="0094350A" w:rsidRPr="00EE49F7">
        <w:rPr>
          <w:rFonts w:cstheme="minorHAnsi"/>
          <w:i/>
        </w:rPr>
        <w:t xml:space="preserve">  </w:t>
      </w:r>
    </w:p>
    <w:p w14:paraId="20C5FD20" w14:textId="77777777" w:rsidR="000C1AFB" w:rsidRDefault="000C1AFB">
      <w:pPr>
        <w:rPr>
          <w:rFonts w:asciiTheme="majorHAnsi" w:eastAsiaTheme="majorEastAsia" w:hAnsiTheme="majorHAnsi" w:cstheme="majorBidi"/>
          <w:color w:val="2F5496" w:themeColor="accent1" w:themeShade="BF"/>
          <w:sz w:val="32"/>
          <w:szCs w:val="32"/>
        </w:rPr>
      </w:pPr>
      <w:r>
        <w:br w:type="page"/>
      </w:r>
    </w:p>
    <w:p w14:paraId="6CFD96A7" w14:textId="0435D8AC" w:rsidR="00D1477F" w:rsidRDefault="00EA2E24" w:rsidP="001A2267">
      <w:pPr>
        <w:pStyle w:val="Heading1"/>
      </w:pPr>
      <w:bookmarkStart w:id="3" w:name="_Toc74578177"/>
      <w:r>
        <w:lastRenderedPageBreak/>
        <w:t xml:space="preserve">3.0 </w:t>
      </w:r>
      <w:r w:rsidR="00611BA9">
        <w:t>Sources of Funds</w:t>
      </w:r>
      <w:bookmarkEnd w:id="3"/>
    </w:p>
    <w:p w14:paraId="5640FA1F" w14:textId="08DF1B7D" w:rsidR="00F7318D" w:rsidRDefault="00F7318D" w:rsidP="00F7318D">
      <w:r>
        <w:t>NCNMEDD’s business lending activities</w:t>
      </w:r>
      <w:r w:rsidR="00463351">
        <w:t xml:space="preserve"> are supported with the</w:t>
      </w:r>
      <w:r>
        <w:t xml:space="preserve"> following </w:t>
      </w:r>
      <w:r w:rsidR="001E67A4">
        <w:t>sources</w:t>
      </w:r>
      <w:r>
        <w:t xml:space="preserve">. </w:t>
      </w:r>
      <w:r w:rsidR="003532FA">
        <w:t>As</w:t>
      </w:r>
      <w:r>
        <w:t xml:space="preserve"> NCNMEDD </w:t>
      </w:r>
      <w:r w:rsidR="003532FA">
        <w:t xml:space="preserve">obtains additional </w:t>
      </w:r>
      <w:r w:rsidR="001E67A4">
        <w:t xml:space="preserve">sources </w:t>
      </w:r>
      <w:r w:rsidR="003532FA">
        <w:t xml:space="preserve">for lending, each </w:t>
      </w:r>
      <w:r>
        <w:t xml:space="preserve">will be added to </w:t>
      </w:r>
      <w:r w:rsidR="003532FA">
        <w:t xml:space="preserve">this section </w:t>
      </w:r>
      <w:r w:rsidR="00B07BB7">
        <w:t xml:space="preserve">along </w:t>
      </w:r>
      <w:r w:rsidR="003532FA">
        <w:t>with</w:t>
      </w:r>
      <w:r>
        <w:t xml:space="preserve"> a summary of </w:t>
      </w:r>
      <w:r w:rsidR="00204574">
        <w:t>applicable</w:t>
      </w:r>
      <w:r>
        <w:t xml:space="preserve"> restrictions and requirements. </w:t>
      </w:r>
      <w:r w:rsidR="00204574">
        <w:t xml:space="preserve">Separate funding agreements, policies or plans </w:t>
      </w:r>
      <w:r w:rsidR="00E76592">
        <w:t>that</w:t>
      </w:r>
      <w:r w:rsidR="00204574">
        <w:t xml:space="preserve"> govern </w:t>
      </w:r>
      <w:r w:rsidR="00E76592">
        <w:t xml:space="preserve">the </w:t>
      </w:r>
      <w:r w:rsidR="00204574">
        <w:t>use of these funds</w:t>
      </w:r>
      <w:r w:rsidR="00417E5B">
        <w:t xml:space="preserve"> are noted below</w:t>
      </w:r>
      <w:r w:rsidR="00650444">
        <w:t xml:space="preserve"> and are controlling in the case of </w:t>
      </w:r>
      <w:r w:rsidR="00CD5193">
        <w:t xml:space="preserve">a </w:t>
      </w:r>
      <w:r w:rsidR="00650444">
        <w:t>conflict with this Policy</w:t>
      </w:r>
      <w:r w:rsidR="00B503F7">
        <w:t>.</w:t>
      </w:r>
      <w:r w:rsidR="00417E5B">
        <w:t xml:space="preserve"> </w:t>
      </w:r>
    </w:p>
    <w:p w14:paraId="19849499" w14:textId="1A5FE4F0" w:rsidR="00FD1A30" w:rsidRDefault="00EA2E24" w:rsidP="001A2267">
      <w:pPr>
        <w:pStyle w:val="Heading2"/>
      </w:pPr>
      <w:bookmarkStart w:id="4" w:name="_Toc74578178"/>
      <w:r>
        <w:t xml:space="preserve">3.1 </w:t>
      </w:r>
      <w:r w:rsidR="00D37F31">
        <w:t>TCR</w:t>
      </w:r>
      <w:r w:rsidR="00D1477F">
        <w:t xml:space="preserve"> Funds</w:t>
      </w:r>
      <w:r w:rsidR="00FD1A30">
        <w:t>:</w:t>
      </w:r>
      <w:bookmarkEnd w:id="4"/>
      <w:r w:rsidR="00FD1A30">
        <w:t xml:space="preserve"> </w:t>
      </w:r>
    </w:p>
    <w:p w14:paraId="4BB87D9B" w14:textId="647AEACC" w:rsidR="00D1477F" w:rsidRDefault="00FD1A30">
      <w:r>
        <w:t xml:space="preserve">These funds were initially used as a local match </w:t>
      </w:r>
      <w:r w:rsidR="00D85382">
        <w:t>for the now</w:t>
      </w:r>
      <w:r w:rsidR="00427020">
        <w:t xml:space="preserve"> </w:t>
      </w:r>
      <w:r w:rsidR="00D85382">
        <w:t>d</w:t>
      </w:r>
      <w:r>
        <w:t>efederalized</w:t>
      </w:r>
      <w:r w:rsidR="00427020">
        <w:t xml:space="preserve"> </w:t>
      </w:r>
      <w:r>
        <w:t xml:space="preserve">EDA Funds </w:t>
      </w:r>
      <w:r w:rsidR="00427020">
        <w:t xml:space="preserve">received </w:t>
      </w:r>
      <w:r w:rsidRPr="00E47628">
        <w:t>in 1983.</w:t>
      </w:r>
      <w:r>
        <w:t xml:space="preserve">  </w:t>
      </w:r>
      <w:r w:rsidR="00EF6CE2">
        <w:t xml:space="preserve">There are no </w:t>
      </w:r>
      <w:r w:rsidR="00B73ADF">
        <w:t xml:space="preserve">additional </w:t>
      </w:r>
      <w:r w:rsidR="00EF6CE2">
        <w:t>restrictions on TCR funds</w:t>
      </w:r>
      <w:r w:rsidR="00B73ADF">
        <w:t xml:space="preserve"> beyond those </w:t>
      </w:r>
      <w:r w:rsidR="00622722">
        <w:t>found in</w:t>
      </w:r>
      <w:r w:rsidR="00B73ADF">
        <w:t xml:space="preserve"> this </w:t>
      </w:r>
      <w:r w:rsidR="00B73ADF" w:rsidRPr="00A16AD8">
        <w:t>Policy</w:t>
      </w:r>
      <w:r w:rsidR="00A16AD8" w:rsidRPr="00A16AD8">
        <w:t>.</w:t>
      </w:r>
      <w:r w:rsidR="00B503F7">
        <w:t xml:space="preserve"> </w:t>
      </w:r>
    </w:p>
    <w:p w14:paraId="772BB6BB" w14:textId="17D2753F" w:rsidR="00FD1A30" w:rsidRDefault="00EA2E24" w:rsidP="001A2267">
      <w:pPr>
        <w:pStyle w:val="Heading2"/>
      </w:pPr>
      <w:bookmarkStart w:id="5" w:name="_Toc74578179"/>
      <w:r>
        <w:t xml:space="preserve">3.2 </w:t>
      </w:r>
      <w:r w:rsidR="00FD1A30">
        <w:t>Defederalized EDA Funds:</w:t>
      </w:r>
      <w:bookmarkEnd w:id="5"/>
      <w:r w:rsidR="00FD1A30">
        <w:t xml:space="preserve"> </w:t>
      </w:r>
    </w:p>
    <w:p w14:paraId="3F2AC34B" w14:textId="0D885B71" w:rsidR="00427020" w:rsidRDefault="00FD1A30">
      <w:r>
        <w:t>These funds were an RLF Award to NCNMEDD in 1983</w:t>
      </w:r>
      <w:r w:rsidR="00EF6CE2">
        <w:t>.  The federal i</w:t>
      </w:r>
      <w:r>
        <w:t xml:space="preserve">nterest </w:t>
      </w:r>
      <w:r w:rsidR="00EF6CE2">
        <w:t xml:space="preserve">in these funds was </w:t>
      </w:r>
      <w:r>
        <w:t xml:space="preserve">removed in </w:t>
      </w:r>
      <w:r w:rsidRPr="00A16AD8">
        <w:t>2021</w:t>
      </w:r>
      <w:r w:rsidR="00A16AD8" w:rsidRPr="00A16AD8">
        <w:t xml:space="preserve">.  </w:t>
      </w:r>
      <w:r w:rsidR="00611BA9" w:rsidRPr="00A16AD8">
        <w:t>These</w:t>
      </w:r>
      <w:r w:rsidR="00611BA9">
        <w:t xml:space="preserve"> funds must be used in accordance with </w:t>
      </w:r>
      <w:r w:rsidR="00622722">
        <w:t>this Policy</w:t>
      </w:r>
      <w:r w:rsidR="001A2267">
        <w:t xml:space="preserve"> as well as th</w:t>
      </w:r>
      <w:r w:rsidR="00611BA9">
        <w:t xml:space="preserve">e signed and executed Defederalization Release Agreement. </w:t>
      </w:r>
      <w:r w:rsidR="00427020">
        <w:t>The summar</w:t>
      </w:r>
      <w:r w:rsidR="00965E79">
        <w:t xml:space="preserve">ized </w:t>
      </w:r>
      <w:r w:rsidR="00427020">
        <w:t xml:space="preserve">restrictions from the Defederalization Agreement are as follows: </w:t>
      </w:r>
    </w:p>
    <w:p w14:paraId="25FD4DC8" w14:textId="0C057C76" w:rsidR="00427020" w:rsidRDefault="00427020" w:rsidP="008738A8">
      <w:pPr>
        <w:pStyle w:val="ListParagraph"/>
        <w:numPr>
          <w:ilvl w:val="0"/>
          <w:numId w:val="12"/>
        </w:numPr>
      </w:pPr>
      <w:r>
        <w:t>Funds may not be used to construct schools, community centers, municipal buildings, pay the general costs of government, or for any purpose outside of P</w:t>
      </w:r>
      <w:r w:rsidR="008F2A64">
        <w:t xml:space="preserve">ublic </w:t>
      </w:r>
      <w:r>
        <w:t>W</w:t>
      </w:r>
      <w:r w:rsidR="008F2A64">
        <w:t xml:space="preserve">orks </w:t>
      </w:r>
      <w:r w:rsidR="004F1246">
        <w:t>and</w:t>
      </w:r>
      <w:r w:rsidR="008F2A64">
        <w:t xml:space="preserve"> </w:t>
      </w:r>
      <w:r>
        <w:t>E</w:t>
      </w:r>
      <w:r w:rsidR="008F2A64">
        <w:t xml:space="preserve">conomic Development </w:t>
      </w:r>
      <w:r>
        <w:t>A</w:t>
      </w:r>
      <w:r w:rsidR="008F2A64">
        <w:t xml:space="preserve">ct </w:t>
      </w:r>
      <w:r w:rsidR="00931766">
        <w:t xml:space="preserve">(PWEDA) </w:t>
      </w:r>
      <w:r w:rsidR="008F2A64">
        <w:t>of 1965</w:t>
      </w:r>
      <w:r>
        <w:t>.</w:t>
      </w:r>
    </w:p>
    <w:p w14:paraId="527F7334" w14:textId="71240921" w:rsidR="00427020" w:rsidRDefault="00427020" w:rsidP="008738A8">
      <w:pPr>
        <w:pStyle w:val="ListParagraph"/>
        <w:numPr>
          <w:ilvl w:val="0"/>
          <w:numId w:val="12"/>
        </w:numPr>
      </w:pPr>
      <w:r>
        <w:t>Funds may not be transferred to an ineligible entity under sections 3(4) and 209 of PWEDA.</w:t>
      </w:r>
    </w:p>
    <w:p w14:paraId="6AA3B170" w14:textId="72FB1A48" w:rsidR="00427020" w:rsidRDefault="00427020" w:rsidP="008738A8">
      <w:pPr>
        <w:pStyle w:val="ListParagraph"/>
        <w:numPr>
          <w:ilvl w:val="0"/>
          <w:numId w:val="12"/>
        </w:numPr>
      </w:pPr>
      <w:r>
        <w:t>Funds may not be used to induce the relocation of existing jobs.</w:t>
      </w:r>
    </w:p>
    <w:p w14:paraId="262C1FAA" w14:textId="5924A7FC" w:rsidR="00427020" w:rsidRDefault="00427020" w:rsidP="008738A8">
      <w:pPr>
        <w:pStyle w:val="ListParagraph"/>
        <w:numPr>
          <w:ilvl w:val="0"/>
          <w:numId w:val="12"/>
        </w:numPr>
      </w:pPr>
      <w:r>
        <w:t xml:space="preserve">Funds used for construction must </w:t>
      </w:r>
      <w:r w:rsidR="00965E79">
        <w:t xml:space="preserve">be </w:t>
      </w:r>
      <w:r>
        <w:t>complian</w:t>
      </w:r>
      <w:r w:rsidR="00965E79">
        <w:t xml:space="preserve">t </w:t>
      </w:r>
      <w:r>
        <w:t xml:space="preserve">with the Davis-Bacon Act.  </w:t>
      </w:r>
    </w:p>
    <w:p w14:paraId="280B1F55" w14:textId="3E33A7D4" w:rsidR="00427020" w:rsidRDefault="00965E79" w:rsidP="008738A8">
      <w:pPr>
        <w:pStyle w:val="ListParagraph"/>
        <w:numPr>
          <w:ilvl w:val="0"/>
          <w:numId w:val="12"/>
        </w:numPr>
      </w:pPr>
      <w:r>
        <w:t xml:space="preserve">Funds must be used in accordance with all applicable laws and may not be used for any purpose that would violate the Establishment Clause.  </w:t>
      </w:r>
    </w:p>
    <w:p w14:paraId="5EBA32A0" w14:textId="5C4789D0" w:rsidR="00965E79" w:rsidRDefault="00965E79" w:rsidP="008738A8">
      <w:pPr>
        <w:pStyle w:val="ListParagraph"/>
        <w:numPr>
          <w:ilvl w:val="0"/>
          <w:numId w:val="12"/>
        </w:numPr>
      </w:pPr>
      <w:r>
        <w:t>Funds can be used without EDA approval or permission if they continue the economic development purposes of PWEDA.</w:t>
      </w:r>
    </w:p>
    <w:p w14:paraId="128E438D" w14:textId="3448FA19" w:rsidR="00965E79" w:rsidRDefault="00233EAD" w:rsidP="008738A8">
      <w:pPr>
        <w:pStyle w:val="ListParagraph"/>
        <w:numPr>
          <w:ilvl w:val="0"/>
          <w:numId w:val="12"/>
        </w:numPr>
      </w:pPr>
      <w:r>
        <w:t>NCNMEDD must</w:t>
      </w:r>
      <w:r w:rsidR="00965E79">
        <w:t xml:space="preserve"> be able to report to EDA on how the funds have been used</w:t>
      </w:r>
      <w:r>
        <w:t>, if asked</w:t>
      </w:r>
      <w:r w:rsidR="00965E79">
        <w:t xml:space="preserve">.  </w:t>
      </w:r>
    </w:p>
    <w:p w14:paraId="6B1D5109" w14:textId="4C9310C4" w:rsidR="00FD1A30" w:rsidRDefault="00C809C6" w:rsidP="001A2267">
      <w:pPr>
        <w:pStyle w:val="Heading1"/>
      </w:pPr>
      <w:bookmarkStart w:id="6" w:name="_Toc74578180"/>
      <w:r>
        <w:t>4.0</w:t>
      </w:r>
      <w:r w:rsidR="00E90AFF">
        <w:t xml:space="preserve"> </w:t>
      </w:r>
      <w:r w:rsidR="00611BA9">
        <w:t>Uses of Funds:</w:t>
      </w:r>
      <w:bookmarkEnd w:id="6"/>
      <w:r w:rsidR="00611BA9">
        <w:t xml:space="preserve"> </w:t>
      </w:r>
    </w:p>
    <w:p w14:paraId="6FEF7643" w14:textId="78B7F591" w:rsidR="00D15D99" w:rsidRDefault="00100DE3" w:rsidP="001A2267">
      <w:pPr>
        <w:pStyle w:val="Heading2"/>
      </w:pPr>
      <w:bookmarkStart w:id="7" w:name="_Toc74578181"/>
      <w:r>
        <w:t xml:space="preserve">4.1 </w:t>
      </w:r>
      <w:r w:rsidR="00D15D99">
        <w:t>Lending Programs</w:t>
      </w:r>
      <w:r>
        <w:t xml:space="preserve"> </w:t>
      </w:r>
      <w:r w:rsidR="004F1246">
        <w:t>and</w:t>
      </w:r>
      <w:r>
        <w:t xml:space="preserve"> Loan Products</w:t>
      </w:r>
      <w:bookmarkEnd w:id="7"/>
    </w:p>
    <w:p w14:paraId="7ACEEC38" w14:textId="39A01A7E" w:rsidR="000C3043" w:rsidRPr="00D15D99" w:rsidRDefault="00696455" w:rsidP="00D15D99">
      <w:r>
        <w:t xml:space="preserve">NCNMEDD </w:t>
      </w:r>
      <w:r w:rsidR="00955335">
        <w:t>intends to</w:t>
      </w:r>
      <w:r>
        <w:t xml:space="preserve"> design and offer lending programs and loan products </w:t>
      </w:r>
      <w:r w:rsidR="00955335">
        <w:t>that respond to</w:t>
      </w:r>
      <w:r w:rsidR="00D15D99">
        <w:t xml:space="preserve"> </w:t>
      </w:r>
      <w:r w:rsidR="00965E79">
        <w:t xml:space="preserve">the </w:t>
      </w:r>
      <w:r w:rsidR="00D15D99">
        <w:t xml:space="preserve">financing needs </w:t>
      </w:r>
      <w:r w:rsidR="00965E79">
        <w:t xml:space="preserve">of the </w:t>
      </w:r>
      <w:r w:rsidR="00D15D99">
        <w:t xml:space="preserve">region. </w:t>
      </w:r>
      <w:r w:rsidR="005B33EF">
        <w:t xml:space="preserve">In addition to participation and direct lending, NCNMEDD may provide </w:t>
      </w:r>
      <w:r w:rsidR="005B6A1A">
        <w:t xml:space="preserve">microlending </w:t>
      </w:r>
      <w:r w:rsidR="00B213D7">
        <w:t>for working capital, gap financing</w:t>
      </w:r>
      <w:r w:rsidR="00750E27">
        <w:t>,</w:t>
      </w:r>
      <w:r w:rsidR="00B213D7">
        <w:t xml:space="preserve"> revolving lines of credit</w:t>
      </w:r>
      <w:r w:rsidR="00BF54E2">
        <w:t xml:space="preserve"> </w:t>
      </w:r>
      <w:r w:rsidR="00B213D7">
        <w:t xml:space="preserve">and </w:t>
      </w:r>
      <w:r w:rsidR="00BF54E2">
        <w:t xml:space="preserve">address </w:t>
      </w:r>
      <w:r w:rsidR="00B213D7">
        <w:t xml:space="preserve">other </w:t>
      </w:r>
      <w:r w:rsidR="00BF54E2">
        <w:t xml:space="preserve">financing </w:t>
      </w:r>
      <w:r w:rsidR="00B213D7">
        <w:t>needs</w:t>
      </w:r>
      <w:r w:rsidR="00B12ADD">
        <w:t xml:space="preserve">, </w:t>
      </w:r>
      <w:r w:rsidR="00B213D7">
        <w:t xml:space="preserve">subject to funding source agreements and restrictions.  </w:t>
      </w:r>
    </w:p>
    <w:p w14:paraId="1AD831FB" w14:textId="58F472A3" w:rsidR="00611BA9" w:rsidRDefault="00A91206" w:rsidP="001A2267">
      <w:pPr>
        <w:pStyle w:val="Heading2"/>
      </w:pPr>
      <w:bookmarkStart w:id="8" w:name="_Toc74578182"/>
      <w:r w:rsidRPr="00A16AD8">
        <w:t xml:space="preserve">4.2 </w:t>
      </w:r>
      <w:r w:rsidR="00611BA9" w:rsidRPr="00A16AD8">
        <w:t>Capital Base:</w:t>
      </w:r>
      <w:bookmarkEnd w:id="8"/>
      <w:r w:rsidR="00611BA9">
        <w:t xml:space="preserve"> </w:t>
      </w:r>
    </w:p>
    <w:p w14:paraId="6E2EA2E6" w14:textId="1DC54E0A" w:rsidR="00D1477F" w:rsidRDefault="00611BA9">
      <w:r>
        <w:t>The t</w:t>
      </w:r>
      <w:r w:rsidR="00FD1A30">
        <w:t>otal capital base is defined as the total amount of funding that NCNMEDD has available to l</w:t>
      </w:r>
      <w:r>
        <w:t xml:space="preserve">end in addition to the principal balances on any loans </w:t>
      </w:r>
      <w:r w:rsidR="000A12B7">
        <w:t xml:space="preserve">among </w:t>
      </w:r>
      <w:r w:rsidR="00FD1A30">
        <w:t xml:space="preserve">all funding sources.  </w:t>
      </w:r>
    </w:p>
    <w:p w14:paraId="28194B31" w14:textId="344B990D" w:rsidR="00E41F3A" w:rsidRDefault="00A91206" w:rsidP="001A2267">
      <w:pPr>
        <w:pStyle w:val="Heading2"/>
      </w:pPr>
      <w:bookmarkStart w:id="9" w:name="_Toc74578183"/>
      <w:r>
        <w:t xml:space="preserve">4.3 </w:t>
      </w:r>
      <w:r w:rsidR="00CA3FAA">
        <w:t>Interest and Fees:</w:t>
      </w:r>
      <w:bookmarkEnd w:id="9"/>
    </w:p>
    <w:p w14:paraId="72CB7D27" w14:textId="0E91EDEE" w:rsidR="00E41F3A" w:rsidRPr="00E41F3A" w:rsidRDefault="00E41F3A" w:rsidP="00E41F3A">
      <w:r>
        <w:t xml:space="preserve">Unless otherwise </w:t>
      </w:r>
      <w:r w:rsidR="00934B0E">
        <w:t>restricted by</w:t>
      </w:r>
      <w:r>
        <w:t xml:space="preserve"> funding source agreements, </w:t>
      </w:r>
      <w:r w:rsidR="0015525E">
        <w:t xml:space="preserve">revenue generated </w:t>
      </w:r>
      <w:r w:rsidR="003C71A8">
        <w:t>by interest or fees may be used a</w:t>
      </w:r>
      <w:r w:rsidR="00EA0599">
        <w:t>t NCNMEDD</w:t>
      </w:r>
      <w:r w:rsidR="00CA3FAA">
        <w:t>’s</w:t>
      </w:r>
      <w:r w:rsidR="00EA0599">
        <w:t xml:space="preserve"> discretion for the following purposes: </w:t>
      </w:r>
      <w:r w:rsidR="003C71A8">
        <w:t xml:space="preserve">unrestricted income, general </w:t>
      </w:r>
      <w:r w:rsidR="00EA0599">
        <w:t xml:space="preserve">or lending-related </w:t>
      </w:r>
      <w:r w:rsidR="003C71A8">
        <w:t>administrative and operating expenses</w:t>
      </w:r>
      <w:r w:rsidR="00EC67A0">
        <w:t xml:space="preserve">, </w:t>
      </w:r>
      <w:r w:rsidR="009F2E08">
        <w:t>capitalization of</w:t>
      </w:r>
      <w:r w:rsidR="00EC67A0">
        <w:t xml:space="preserve"> new lending programs, or </w:t>
      </w:r>
      <w:r w:rsidR="009F2E08">
        <w:t>incorpor</w:t>
      </w:r>
      <w:r w:rsidR="00CA3FAA">
        <w:t>ation</w:t>
      </w:r>
      <w:r w:rsidR="00EC67A0">
        <w:t xml:space="preserve"> into the </w:t>
      </w:r>
      <w:r>
        <w:t xml:space="preserve">capital base.  </w:t>
      </w:r>
    </w:p>
    <w:p w14:paraId="5642B5C9" w14:textId="3EE88123" w:rsidR="00611BA9" w:rsidRDefault="00844549" w:rsidP="001A2267">
      <w:pPr>
        <w:pStyle w:val="Heading2"/>
      </w:pPr>
      <w:bookmarkStart w:id="10" w:name="_Toc74578184"/>
      <w:r>
        <w:lastRenderedPageBreak/>
        <w:t>4.</w:t>
      </w:r>
      <w:r w:rsidR="00BD647E">
        <w:t>4</w:t>
      </w:r>
      <w:r>
        <w:t xml:space="preserve"> </w:t>
      </w:r>
      <w:r w:rsidR="00611BA9">
        <w:t>Concentration Limits</w:t>
      </w:r>
      <w:r w:rsidR="000C3043">
        <w:t xml:space="preserve"> </w:t>
      </w:r>
      <w:r w:rsidR="004F1246">
        <w:t>and</w:t>
      </w:r>
      <w:r w:rsidR="000C3043">
        <w:t xml:space="preserve"> Portfolio Targets</w:t>
      </w:r>
      <w:r w:rsidR="00611BA9">
        <w:t>:</w:t>
      </w:r>
      <w:bookmarkEnd w:id="10"/>
      <w:r w:rsidR="00611BA9">
        <w:t xml:space="preserve"> </w:t>
      </w:r>
    </w:p>
    <w:p w14:paraId="48534164" w14:textId="101C1975" w:rsidR="001A2267" w:rsidRDefault="00611BA9">
      <w:r>
        <w:t xml:space="preserve">NCNMEDD’s </w:t>
      </w:r>
      <w:r w:rsidR="00A4799D">
        <w:t xml:space="preserve">loan </w:t>
      </w:r>
      <w:r w:rsidR="001A2267">
        <w:t xml:space="preserve">concentration limit </w:t>
      </w:r>
      <w:r w:rsidR="00B503F7">
        <w:t xml:space="preserve">will be </w:t>
      </w:r>
      <w:r w:rsidR="000C3043">
        <w:t xml:space="preserve">33% </w:t>
      </w:r>
      <w:r w:rsidR="00B503F7">
        <w:t>(</w:t>
      </w:r>
      <w:r w:rsidR="009954C6">
        <w:t>one-third</w:t>
      </w:r>
      <w:r w:rsidR="00B503F7">
        <w:t>)</w:t>
      </w:r>
      <w:r w:rsidR="009954C6">
        <w:t xml:space="preserve"> </w:t>
      </w:r>
      <w:r w:rsidR="001A2267">
        <w:t xml:space="preserve">of its capital base.  The concentration limit applies to singular borrowers, guarantors, agents, principals as well as to </w:t>
      </w:r>
      <w:r w:rsidR="00E41F3A">
        <w:t>exposure through participating lenders</w:t>
      </w:r>
      <w:r w:rsidR="001A2267">
        <w:t xml:space="preserve">.  </w:t>
      </w:r>
      <w:r w:rsidR="00DA0FAA">
        <w:t>The RLF Committee may make exceptions to this provision and all such exceptions shall be documented.</w:t>
      </w:r>
    </w:p>
    <w:p w14:paraId="18F29073" w14:textId="5F30BC68" w:rsidR="00AD495A" w:rsidRPr="00AD495A" w:rsidRDefault="00844549">
      <w:pPr>
        <w:rPr>
          <w:rFonts w:asciiTheme="majorHAnsi" w:hAnsiTheme="majorHAnsi" w:cstheme="majorHAnsi"/>
          <w:color w:val="2F5496" w:themeColor="accent1" w:themeShade="BF"/>
          <w:sz w:val="26"/>
          <w:szCs w:val="26"/>
        </w:rPr>
      </w:pPr>
      <w:r>
        <w:rPr>
          <w:rFonts w:asciiTheme="majorHAnsi" w:hAnsiTheme="majorHAnsi" w:cstheme="majorHAnsi"/>
          <w:color w:val="2F5496" w:themeColor="accent1" w:themeShade="BF"/>
          <w:sz w:val="26"/>
          <w:szCs w:val="26"/>
        </w:rPr>
        <w:t>4.</w:t>
      </w:r>
      <w:r w:rsidR="000C0581">
        <w:rPr>
          <w:rFonts w:asciiTheme="majorHAnsi" w:hAnsiTheme="majorHAnsi" w:cstheme="majorHAnsi"/>
          <w:color w:val="2F5496" w:themeColor="accent1" w:themeShade="BF"/>
          <w:sz w:val="26"/>
          <w:szCs w:val="26"/>
        </w:rPr>
        <w:t>5</w:t>
      </w:r>
      <w:r>
        <w:rPr>
          <w:rFonts w:asciiTheme="majorHAnsi" w:hAnsiTheme="majorHAnsi" w:cstheme="majorHAnsi"/>
          <w:color w:val="2F5496" w:themeColor="accent1" w:themeShade="BF"/>
          <w:sz w:val="26"/>
          <w:szCs w:val="26"/>
        </w:rPr>
        <w:t xml:space="preserve"> </w:t>
      </w:r>
      <w:r w:rsidR="00AD495A" w:rsidRPr="00AD495A">
        <w:rPr>
          <w:rFonts w:asciiTheme="majorHAnsi" w:hAnsiTheme="majorHAnsi" w:cstheme="majorHAnsi"/>
          <w:color w:val="2F5496" w:themeColor="accent1" w:themeShade="BF"/>
          <w:sz w:val="26"/>
          <w:szCs w:val="26"/>
        </w:rPr>
        <w:t xml:space="preserve">Direct </w:t>
      </w:r>
      <w:r w:rsidR="004F1246">
        <w:rPr>
          <w:rFonts w:asciiTheme="majorHAnsi" w:hAnsiTheme="majorHAnsi" w:cstheme="majorHAnsi"/>
          <w:color w:val="2F5496" w:themeColor="accent1" w:themeShade="BF"/>
          <w:sz w:val="26"/>
          <w:szCs w:val="26"/>
        </w:rPr>
        <w:t>and</w:t>
      </w:r>
      <w:r w:rsidR="00AD495A" w:rsidRPr="00AD495A">
        <w:rPr>
          <w:rFonts w:asciiTheme="majorHAnsi" w:hAnsiTheme="majorHAnsi" w:cstheme="majorHAnsi"/>
          <w:color w:val="2F5496" w:themeColor="accent1" w:themeShade="BF"/>
          <w:sz w:val="26"/>
          <w:szCs w:val="26"/>
        </w:rPr>
        <w:t xml:space="preserve"> Participation Lending: </w:t>
      </w:r>
    </w:p>
    <w:p w14:paraId="3D60823B" w14:textId="6D7C44EB" w:rsidR="00DA0FAA" w:rsidRDefault="000C3043" w:rsidP="00DA0FAA">
      <w:r>
        <w:t xml:space="preserve">NCNMEDD will seek to maintain a balance between direct and participation lending programs and </w:t>
      </w:r>
      <w:r w:rsidR="00A91206">
        <w:t xml:space="preserve">will </w:t>
      </w:r>
      <w:r>
        <w:t xml:space="preserve">not exceed 75% </w:t>
      </w:r>
      <w:r w:rsidR="00023E5D">
        <w:t xml:space="preserve">concentration of the capital base in </w:t>
      </w:r>
      <w:r>
        <w:t xml:space="preserve">one or the other. </w:t>
      </w:r>
      <w:bookmarkStart w:id="11" w:name="_Toc74578185"/>
      <w:r w:rsidR="00DA0FAA">
        <w:t>The RLF Committee may make exceptions to this provision and all such exceptions shall be documented.</w:t>
      </w:r>
    </w:p>
    <w:p w14:paraId="1A82C4C3" w14:textId="3A70DDDC" w:rsidR="00B213D7" w:rsidRDefault="00EE49F7" w:rsidP="00DA0FAA">
      <w:r>
        <w:t>4.</w:t>
      </w:r>
      <w:r w:rsidR="000C0581">
        <w:t>6</w:t>
      </w:r>
      <w:r>
        <w:t xml:space="preserve"> </w:t>
      </w:r>
      <w:r w:rsidR="00F60957">
        <w:t>Eligibility</w:t>
      </w:r>
      <w:bookmarkEnd w:id="11"/>
    </w:p>
    <w:p w14:paraId="6037E3D4" w14:textId="586A110F" w:rsidR="00996EE6" w:rsidRDefault="00F60957" w:rsidP="003E5D9B">
      <w:r>
        <w:t xml:space="preserve">Eligible Borrowers: </w:t>
      </w:r>
      <w:r w:rsidR="00B213D7">
        <w:t xml:space="preserve">In general, </w:t>
      </w:r>
      <w:r w:rsidR="00F64BCB">
        <w:t xml:space="preserve">all small businesses </w:t>
      </w:r>
      <w:r w:rsidR="004757A2">
        <w:t xml:space="preserve">or </w:t>
      </w:r>
      <w:r w:rsidR="00B213D7">
        <w:t>legal</w:t>
      </w:r>
      <w:r w:rsidR="00996EE6">
        <w:t xml:space="preserve">ly organized </w:t>
      </w:r>
      <w:r w:rsidR="004757A2">
        <w:t xml:space="preserve">entities </w:t>
      </w:r>
      <w:r w:rsidR="00B213D7">
        <w:t>are eligible for RLF Funding</w:t>
      </w:r>
      <w:r w:rsidR="004757A2">
        <w:t xml:space="preserve"> if they can demonstrate a need for the loan proceeds</w:t>
      </w:r>
      <w:r w:rsidR="00CB0682">
        <w:t xml:space="preserve"> and </w:t>
      </w:r>
      <w:r w:rsidR="00AF6477">
        <w:t xml:space="preserve">will </w:t>
      </w:r>
      <w:r w:rsidR="004757A2">
        <w:t>use the funds for a sound business purpose</w:t>
      </w:r>
      <w:r w:rsidR="00CB0682">
        <w:t xml:space="preserve"> in alignment with the </w:t>
      </w:r>
      <w:r w:rsidR="00EE49F7">
        <w:t>M</w:t>
      </w:r>
      <w:r w:rsidR="00CB0682">
        <w:t xml:space="preserve">ission. </w:t>
      </w:r>
    </w:p>
    <w:p w14:paraId="1BBF85B3" w14:textId="64244139" w:rsidR="0021563C" w:rsidRDefault="00F60957" w:rsidP="003E5D9B">
      <w:r>
        <w:t xml:space="preserve">Ineligible Borrowers: </w:t>
      </w:r>
      <w:r w:rsidR="00B213D7">
        <w:t xml:space="preserve">Unless otherwise specified in the funding source agreements, NCNMEDD will </w:t>
      </w:r>
      <w:r w:rsidR="00996EE6">
        <w:t xml:space="preserve">reference </w:t>
      </w:r>
      <w:r w:rsidR="00F64BCB">
        <w:t>the SBA listing of ineligible businesses</w:t>
      </w:r>
      <w:r w:rsidR="00996EE6">
        <w:t xml:space="preserve"> </w:t>
      </w:r>
      <w:r w:rsidR="00F64BCB">
        <w:t xml:space="preserve">as a guide for businesses that are ineligible for RLF funding.  </w:t>
      </w:r>
      <w:r w:rsidR="004757A2">
        <w:t xml:space="preserve">A </w:t>
      </w:r>
      <w:r w:rsidR="00996EE6">
        <w:t xml:space="preserve">summary of these businesses </w:t>
      </w:r>
      <w:r w:rsidR="001E67A4">
        <w:t xml:space="preserve">is </w:t>
      </w:r>
      <w:r w:rsidR="00FC61C8">
        <w:t xml:space="preserve">provided in </w:t>
      </w:r>
      <w:r w:rsidR="00996EE6">
        <w:t xml:space="preserve">Appendix </w:t>
      </w:r>
      <w:r w:rsidR="00455DC0">
        <w:t>1</w:t>
      </w:r>
      <w:r w:rsidR="00996EE6">
        <w:t xml:space="preserve">, but the full and current </w:t>
      </w:r>
      <w:r w:rsidR="004757A2">
        <w:t xml:space="preserve">listing may </w:t>
      </w:r>
      <w:r w:rsidR="00996EE6">
        <w:t xml:space="preserve">be found at </w:t>
      </w:r>
      <w:r w:rsidR="00996EE6" w:rsidRPr="00F64BCB">
        <w:t>13 CFR § 120.110</w:t>
      </w:r>
      <w:r w:rsidR="00996EE6">
        <w:t xml:space="preserve">.  </w:t>
      </w:r>
      <w:r w:rsidR="00583798">
        <w:t xml:space="preserve">If </w:t>
      </w:r>
      <w:r w:rsidR="00334A62">
        <w:t>a borrower is i</w:t>
      </w:r>
      <w:r w:rsidR="004757A2">
        <w:t xml:space="preserve">neligible </w:t>
      </w:r>
      <w:r w:rsidR="000C57A5">
        <w:t xml:space="preserve">but </w:t>
      </w:r>
      <w:r w:rsidR="004757A2">
        <w:t xml:space="preserve">can display a need for the loan proceeds and </w:t>
      </w:r>
      <w:r w:rsidR="00334A62">
        <w:t xml:space="preserve">will </w:t>
      </w:r>
      <w:r w:rsidR="004757A2">
        <w:t>use the funds for a sound business purpose</w:t>
      </w:r>
      <w:r w:rsidR="00583798">
        <w:t>, the loan</w:t>
      </w:r>
      <w:r w:rsidR="004757A2">
        <w:t xml:space="preserve"> </w:t>
      </w:r>
      <w:r w:rsidR="00583798">
        <w:t xml:space="preserve">request </w:t>
      </w:r>
      <w:r w:rsidR="00F64BCB">
        <w:t xml:space="preserve">may be </w:t>
      </w:r>
      <w:r>
        <w:t>considered</w:t>
      </w:r>
      <w:r w:rsidR="004757A2">
        <w:t xml:space="preserve"> </w:t>
      </w:r>
      <w:r w:rsidR="00D55397">
        <w:t xml:space="preserve">if the business purpose is in </w:t>
      </w:r>
      <w:r w:rsidR="00D55397" w:rsidRPr="00CC634D">
        <w:t>alignment with the Mission</w:t>
      </w:r>
      <w:r w:rsidR="00CC634D" w:rsidRPr="00CC634D">
        <w:t>.</w:t>
      </w:r>
      <w:r w:rsidR="00583798">
        <w:t xml:space="preserve"> </w:t>
      </w:r>
    </w:p>
    <w:p w14:paraId="7404B23E" w14:textId="7453F823" w:rsidR="00B213D7" w:rsidRDefault="00F60957" w:rsidP="00B213D7">
      <w:r>
        <w:t xml:space="preserve">Ineligible Uses: </w:t>
      </w:r>
      <w:r w:rsidR="00996EE6">
        <w:t xml:space="preserve">RLF Capital may not be used: </w:t>
      </w:r>
    </w:p>
    <w:p w14:paraId="1D37E241" w14:textId="21BC8282" w:rsidR="00B213D7" w:rsidRDefault="00B213D7" w:rsidP="008738A8">
      <w:pPr>
        <w:pStyle w:val="ListParagraph"/>
        <w:numPr>
          <w:ilvl w:val="0"/>
          <w:numId w:val="13"/>
        </w:numPr>
        <w:ind w:left="720" w:hanging="360"/>
      </w:pPr>
      <w:r>
        <w:t>By NCNMEDD to acquire an equity position in a private business</w:t>
      </w:r>
      <w:r w:rsidR="00996EE6">
        <w:t>.</w:t>
      </w:r>
      <w:r>
        <w:t xml:space="preserve"> </w:t>
      </w:r>
    </w:p>
    <w:p w14:paraId="03EF87CC" w14:textId="3D0DA5C2" w:rsidR="00B213D7" w:rsidRDefault="00B213D7" w:rsidP="008738A8">
      <w:pPr>
        <w:pStyle w:val="ListParagraph"/>
        <w:numPr>
          <w:ilvl w:val="0"/>
          <w:numId w:val="13"/>
        </w:numPr>
        <w:ind w:left="720" w:hanging="360"/>
      </w:pPr>
      <w:r>
        <w:t>By NCNMEDD to subsidize interest payments on an existing RLF loan</w:t>
      </w:r>
      <w:r w:rsidR="00996EE6">
        <w:t>.</w:t>
      </w:r>
      <w:r>
        <w:t xml:space="preserve"> </w:t>
      </w:r>
    </w:p>
    <w:p w14:paraId="173948B8" w14:textId="2C3D8B92" w:rsidR="00B213D7" w:rsidRDefault="00150C3F" w:rsidP="008738A8">
      <w:pPr>
        <w:pStyle w:val="ListParagraph"/>
        <w:numPr>
          <w:ilvl w:val="0"/>
          <w:numId w:val="13"/>
        </w:numPr>
        <w:ind w:left="720" w:hanging="360"/>
      </w:pPr>
      <w:r>
        <w:t>To p</w:t>
      </w:r>
      <w:r w:rsidR="00B213D7">
        <w:t>rovide for borrowers’ equity contributions under other loan programs</w:t>
      </w:r>
      <w:r w:rsidR="00996EE6">
        <w:t>.</w:t>
      </w:r>
    </w:p>
    <w:p w14:paraId="0BA789BF" w14:textId="66D7A7D6" w:rsidR="00B213D7" w:rsidRDefault="00150C3F" w:rsidP="008738A8">
      <w:pPr>
        <w:pStyle w:val="ListParagraph"/>
        <w:numPr>
          <w:ilvl w:val="0"/>
          <w:numId w:val="13"/>
        </w:numPr>
        <w:ind w:left="720" w:hanging="360"/>
      </w:pPr>
      <w:r>
        <w:t>To e</w:t>
      </w:r>
      <w:r w:rsidR="00B213D7">
        <w:t>nable borrowers to acquire an interest in a business either through the purchase of stock or acquisition of assets unless sufficient justification is provided</w:t>
      </w:r>
      <w:r w:rsidR="00996EE6">
        <w:t>.</w:t>
      </w:r>
    </w:p>
    <w:p w14:paraId="355C2221" w14:textId="0B8A6CEC" w:rsidR="00B213D7" w:rsidRDefault="00150C3F" w:rsidP="008738A8">
      <w:pPr>
        <w:pStyle w:val="ListParagraph"/>
        <w:numPr>
          <w:ilvl w:val="0"/>
          <w:numId w:val="13"/>
        </w:numPr>
        <w:ind w:left="720" w:hanging="360"/>
      </w:pPr>
      <w:proofErr w:type="gramStart"/>
      <w:r>
        <w:t>For</w:t>
      </w:r>
      <w:r w:rsidR="00B213D7">
        <w:t xml:space="preserve"> the purpose of</w:t>
      </w:r>
      <w:proofErr w:type="gramEnd"/>
      <w:r w:rsidR="00B213D7">
        <w:t xml:space="preserve"> investing in interest bearing accounts, certificates of deposit or any investment unrelated to the RLF</w:t>
      </w:r>
      <w:r w:rsidR="00996EE6">
        <w:t xml:space="preserve">. </w:t>
      </w:r>
      <w:r w:rsidR="00B213D7">
        <w:t xml:space="preserve"> </w:t>
      </w:r>
    </w:p>
    <w:p w14:paraId="2A96193E" w14:textId="7268FAE0" w:rsidR="00B213D7" w:rsidRDefault="00150C3F" w:rsidP="008738A8">
      <w:pPr>
        <w:pStyle w:val="ListParagraph"/>
        <w:numPr>
          <w:ilvl w:val="0"/>
          <w:numId w:val="13"/>
        </w:numPr>
        <w:ind w:left="720" w:hanging="360"/>
      </w:pPr>
      <w:r>
        <w:t>To r</w:t>
      </w:r>
      <w:r w:rsidR="00B213D7">
        <w:t xml:space="preserve">efinance existing </w:t>
      </w:r>
      <w:r w:rsidR="006504C9">
        <w:t>debt unless</w:t>
      </w:r>
      <w:r w:rsidR="00996EE6" w:rsidRPr="00996EE6">
        <w:t xml:space="preserve"> </w:t>
      </w:r>
      <w:r w:rsidR="00996EE6">
        <w:t>sufficient justification is provided.</w:t>
      </w:r>
      <w:r w:rsidR="00B213D7">
        <w:t xml:space="preserve"> </w:t>
      </w:r>
    </w:p>
    <w:p w14:paraId="6C50F6AC" w14:textId="34A2F54B" w:rsidR="00B213D7" w:rsidRDefault="00150C3F" w:rsidP="008738A8">
      <w:pPr>
        <w:pStyle w:val="ListParagraph"/>
        <w:numPr>
          <w:ilvl w:val="0"/>
          <w:numId w:val="13"/>
        </w:numPr>
        <w:ind w:left="720" w:hanging="360"/>
      </w:pPr>
      <w:r>
        <w:t>To s</w:t>
      </w:r>
      <w:r w:rsidR="00B213D7">
        <w:t>erve as collateral to obtain credit or any other type of financing (e.g., loan guarantees)</w:t>
      </w:r>
      <w:r w:rsidR="006504C9">
        <w:t>.</w:t>
      </w:r>
    </w:p>
    <w:p w14:paraId="65CB847D" w14:textId="1ADC1C24" w:rsidR="000C1AFB" w:rsidRPr="0085787B" w:rsidRDefault="008738A8" w:rsidP="000C1AFB">
      <w:pPr>
        <w:pStyle w:val="ListParagraph"/>
        <w:numPr>
          <w:ilvl w:val="0"/>
          <w:numId w:val="13"/>
        </w:numPr>
        <w:ind w:left="720" w:hanging="360"/>
      </w:pPr>
      <w:r>
        <w:t>To f</w:t>
      </w:r>
      <w:r w:rsidR="00B213D7">
        <w:t>inance gambling activity, performances or products of a prurient sexual nature</w:t>
      </w:r>
      <w:r w:rsidR="00B213D7" w:rsidRPr="0085787B">
        <w:t>, illegal activity</w:t>
      </w:r>
      <w:r w:rsidR="00393F73" w:rsidRPr="0085787B">
        <w:t>,</w:t>
      </w:r>
      <w:r w:rsidR="00D52E6D" w:rsidRPr="0085787B">
        <w:t xml:space="preserve"> or cannabis-related legal businesses.</w:t>
      </w:r>
      <w:r w:rsidR="000C1AFB" w:rsidRPr="0085787B">
        <w:br w:type="page"/>
      </w:r>
    </w:p>
    <w:p w14:paraId="21790958" w14:textId="51AC9B38" w:rsidR="001A2267" w:rsidRDefault="004C3DCC" w:rsidP="006504C9">
      <w:pPr>
        <w:pStyle w:val="Heading1"/>
      </w:pPr>
      <w:bookmarkStart w:id="12" w:name="_Toc74578186"/>
      <w:r>
        <w:lastRenderedPageBreak/>
        <w:t xml:space="preserve">5.0 </w:t>
      </w:r>
      <w:r w:rsidR="00E4512E">
        <w:t>A</w:t>
      </w:r>
      <w:r w:rsidR="000763FF">
        <w:t>d</w:t>
      </w:r>
      <w:r w:rsidR="00965E79">
        <w:t xml:space="preserve">ministrative </w:t>
      </w:r>
      <w:r w:rsidR="00E4512E">
        <w:t>Procedures</w:t>
      </w:r>
      <w:bookmarkEnd w:id="12"/>
    </w:p>
    <w:p w14:paraId="3C08633A" w14:textId="2D8BE030" w:rsidR="001E1FA6" w:rsidRDefault="004C3DCC" w:rsidP="001E1FA6">
      <w:pPr>
        <w:pStyle w:val="Heading2"/>
      </w:pPr>
      <w:bookmarkStart w:id="13" w:name="_Toc74578187"/>
      <w:r>
        <w:t xml:space="preserve">5.1 </w:t>
      </w:r>
      <w:r w:rsidR="001E1FA6">
        <w:t xml:space="preserve">Delegations of Authority </w:t>
      </w:r>
      <w:r w:rsidR="004F1246">
        <w:t>and</w:t>
      </w:r>
      <w:r w:rsidR="001E1FA6">
        <w:t xml:space="preserve"> Responsibility</w:t>
      </w:r>
      <w:bookmarkEnd w:id="13"/>
    </w:p>
    <w:p w14:paraId="387FE821" w14:textId="74B431E1" w:rsidR="005E199A" w:rsidRDefault="00685A5C" w:rsidP="001E1FA6">
      <w:r>
        <w:t>NCNMEDD’s</w:t>
      </w:r>
      <w:r w:rsidR="001E1FA6">
        <w:t xml:space="preserve"> Executive Committee </w:t>
      </w:r>
      <w:r>
        <w:t>is</w:t>
      </w:r>
      <w:r w:rsidR="001E1FA6">
        <w:t xml:space="preserve"> responsible for </w:t>
      </w:r>
      <w:r>
        <w:t>oversight of all NCNMEDD lending programs</w:t>
      </w:r>
      <w:r w:rsidR="00D11734">
        <w:t xml:space="preserve">. </w:t>
      </w:r>
      <w:r w:rsidR="005C5814" w:rsidRPr="00EA4D85">
        <w:t xml:space="preserve">A majority vote by a quorum of the Executive Committee at a properly noticed meeting is required for formal action on any matter. </w:t>
      </w:r>
      <w:r w:rsidR="00D11734">
        <w:t>The Executive Committee</w:t>
      </w:r>
      <w:r w:rsidR="005E199A">
        <w:t xml:space="preserve"> </w:t>
      </w:r>
      <w:r w:rsidR="005763F4">
        <w:t>is responsible for the following</w:t>
      </w:r>
      <w:r w:rsidR="00A16236">
        <w:t>:</w:t>
      </w:r>
    </w:p>
    <w:p w14:paraId="53022D4C" w14:textId="602EFBEA" w:rsidR="00A2182A" w:rsidRPr="005763F4" w:rsidRDefault="00D6760F" w:rsidP="004C3DCC">
      <w:pPr>
        <w:pStyle w:val="DefaultText"/>
        <w:numPr>
          <w:ilvl w:val="0"/>
          <w:numId w:val="17"/>
        </w:numPr>
        <w:rPr>
          <w:rFonts w:asciiTheme="minorHAnsi" w:hAnsiTheme="minorHAnsi" w:cstheme="minorHAnsi"/>
          <w:sz w:val="22"/>
          <w:szCs w:val="22"/>
        </w:rPr>
      </w:pPr>
      <w:r w:rsidRPr="005763F4">
        <w:rPr>
          <w:rFonts w:asciiTheme="minorHAnsi" w:hAnsiTheme="minorHAnsi" w:cstheme="minorHAnsi"/>
          <w:sz w:val="22"/>
          <w:szCs w:val="22"/>
        </w:rPr>
        <w:t xml:space="preserve">To amend </w:t>
      </w:r>
      <w:r w:rsidR="00A2182A" w:rsidRPr="005763F4">
        <w:rPr>
          <w:rFonts w:asciiTheme="minorHAnsi" w:hAnsiTheme="minorHAnsi" w:cstheme="minorHAnsi"/>
          <w:sz w:val="22"/>
          <w:szCs w:val="22"/>
        </w:rPr>
        <w:t>this Policy</w:t>
      </w:r>
      <w:r w:rsidRPr="005763F4">
        <w:rPr>
          <w:rFonts w:asciiTheme="minorHAnsi" w:hAnsiTheme="minorHAnsi" w:cstheme="minorHAnsi"/>
          <w:sz w:val="22"/>
          <w:szCs w:val="22"/>
        </w:rPr>
        <w:t xml:space="preserve"> as </w:t>
      </w:r>
      <w:proofErr w:type="gramStart"/>
      <w:r w:rsidRPr="005763F4">
        <w:rPr>
          <w:rFonts w:asciiTheme="minorHAnsi" w:hAnsiTheme="minorHAnsi" w:cstheme="minorHAnsi"/>
          <w:sz w:val="22"/>
          <w:szCs w:val="22"/>
        </w:rPr>
        <w:t>needed</w:t>
      </w:r>
      <w:r w:rsidR="0091565F">
        <w:rPr>
          <w:rFonts w:asciiTheme="minorHAnsi" w:hAnsiTheme="minorHAnsi" w:cstheme="minorHAnsi"/>
          <w:sz w:val="22"/>
          <w:szCs w:val="22"/>
        </w:rPr>
        <w:t>;</w:t>
      </w:r>
      <w:proofErr w:type="gramEnd"/>
      <w:r w:rsidR="0091565F">
        <w:rPr>
          <w:rFonts w:asciiTheme="minorHAnsi" w:hAnsiTheme="minorHAnsi" w:cstheme="minorHAnsi"/>
          <w:sz w:val="22"/>
          <w:szCs w:val="22"/>
        </w:rPr>
        <w:t xml:space="preserve"> </w:t>
      </w:r>
    </w:p>
    <w:p w14:paraId="27CDAA3A" w14:textId="5D1A1468" w:rsidR="00D6760F" w:rsidRPr="005763F4" w:rsidRDefault="00D6760F" w:rsidP="004C3DCC">
      <w:pPr>
        <w:pStyle w:val="DefaultText"/>
        <w:numPr>
          <w:ilvl w:val="0"/>
          <w:numId w:val="17"/>
        </w:numPr>
        <w:rPr>
          <w:rFonts w:asciiTheme="minorHAnsi" w:hAnsiTheme="minorHAnsi" w:cstheme="minorHAnsi"/>
          <w:sz w:val="22"/>
          <w:szCs w:val="22"/>
        </w:rPr>
      </w:pPr>
      <w:r w:rsidRPr="005763F4">
        <w:rPr>
          <w:rFonts w:asciiTheme="minorHAnsi" w:hAnsiTheme="minorHAnsi" w:cstheme="minorHAnsi"/>
          <w:sz w:val="22"/>
          <w:szCs w:val="22"/>
        </w:rPr>
        <w:t xml:space="preserve">To authorize, apply for, and accept capital </w:t>
      </w:r>
      <w:proofErr w:type="gramStart"/>
      <w:r w:rsidRPr="005763F4">
        <w:rPr>
          <w:rFonts w:asciiTheme="minorHAnsi" w:hAnsiTheme="minorHAnsi" w:cstheme="minorHAnsi"/>
          <w:sz w:val="22"/>
          <w:szCs w:val="22"/>
        </w:rPr>
        <w:t>contributions;</w:t>
      </w:r>
      <w:proofErr w:type="gramEnd"/>
    </w:p>
    <w:p w14:paraId="18082CD8" w14:textId="1FE282B3" w:rsidR="00D6760F" w:rsidRPr="005763F4" w:rsidRDefault="00D6760F" w:rsidP="004C3DCC">
      <w:pPr>
        <w:pStyle w:val="ListParagraph"/>
        <w:numPr>
          <w:ilvl w:val="0"/>
          <w:numId w:val="17"/>
        </w:numPr>
        <w:spacing w:after="0" w:line="240" w:lineRule="auto"/>
        <w:rPr>
          <w:rFonts w:cstheme="minorHAnsi"/>
        </w:rPr>
      </w:pPr>
      <w:r w:rsidRPr="005763F4">
        <w:rPr>
          <w:rFonts w:cstheme="minorHAnsi"/>
        </w:rPr>
        <w:t>To create a</w:t>
      </w:r>
      <w:r w:rsidR="00567613" w:rsidRPr="005763F4">
        <w:rPr>
          <w:rFonts w:cstheme="minorHAnsi"/>
        </w:rPr>
        <w:t xml:space="preserve"> </w:t>
      </w:r>
      <w:r w:rsidR="005C5814">
        <w:rPr>
          <w:rFonts w:cstheme="minorHAnsi"/>
        </w:rPr>
        <w:t>RLF</w:t>
      </w:r>
      <w:r w:rsidRPr="005763F4">
        <w:rPr>
          <w:rFonts w:cstheme="minorHAnsi"/>
        </w:rPr>
        <w:t xml:space="preserve"> Committee and appoint and/or replace members of the</w:t>
      </w:r>
      <w:r w:rsidR="00A62716" w:rsidRPr="005763F4">
        <w:rPr>
          <w:rFonts w:cstheme="minorHAnsi"/>
        </w:rPr>
        <w:t xml:space="preserve"> </w:t>
      </w:r>
      <w:r w:rsidRPr="005763F4">
        <w:rPr>
          <w:rFonts w:cstheme="minorHAnsi"/>
        </w:rPr>
        <w:t>Committee</w:t>
      </w:r>
      <w:r w:rsidR="00A62716" w:rsidRPr="005763F4">
        <w:rPr>
          <w:rFonts w:cstheme="minorHAnsi"/>
        </w:rPr>
        <w:t xml:space="preserve">, </w:t>
      </w:r>
      <w:r w:rsidR="00567613" w:rsidRPr="005763F4">
        <w:rPr>
          <w:rFonts w:cstheme="minorHAnsi"/>
        </w:rPr>
        <w:t xml:space="preserve">a majority of whom shall have experience in financial </w:t>
      </w:r>
      <w:proofErr w:type="gramStart"/>
      <w:r w:rsidR="00567613" w:rsidRPr="005763F4">
        <w:rPr>
          <w:rFonts w:cstheme="minorHAnsi"/>
        </w:rPr>
        <w:t>services;</w:t>
      </w:r>
      <w:proofErr w:type="gramEnd"/>
      <w:r w:rsidR="00567613" w:rsidRPr="005763F4">
        <w:rPr>
          <w:rFonts w:cstheme="minorHAnsi"/>
        </w:rPr>
        <w:t xml:space="preserve"> </w:t>
      </w:r>
    </w:p>
    <w:p w14:paraId="3B7C0607" w14:textId="4A330E05" w:rsidR="00BA7BF9" w:rsidRPr="00EA4D85" w:rsidRDefault="00BA7BF9" w:rsidP="00BA7BF9">
      <w:pPr>
        <w:pStyle w:val="DefaultText"/>
        <w:numPr>
          <w:ilvl w:val="0"/>
          <w:numId w:val="17"/>
        </w:numPr>
        <w:rPr>
          <w:rFonts w:asciiTheme="minorHAnsi" w:hAnsiTheme="minorHAnsi" w:cstheme="minorHAnsi"/>
          <w:sz w:val="22"/>
          <w:szCs w:val="22"/>
        </w:rPr>
      </w:pPr>
      <w:r w:rsidRPr="00EA4D85">
        <w:rPr>
          <w:rFonts w:asciiTheme="minorHAnsi" w:hAnsiTheme="minorHAnsi" w:cstheme="minorHAnsi"/>
          <w:sz w:val="22"/>
          <w:szCs w:val="22"/>
        </w:rPr>
        <w:t xml:space="preserve">For loans under </w:t>
      </w:r>
      <w:r w:rsidR="00316B47">
        <w:rPr>
          <w:rFonts w:asciiTheme="minorHAnsi" w:hAnsiTheme="minorHAnsi" w:cstheme="minorHAnsi"/>
          <w:sz w:val="22"/>
          <w:szCs w:val="22"/>
        </w:rPr>
        <w:t>$100,000</w:t>
      </w:r>
      <w:r w:rsidRPr="00EA4D85">
        <w:rPr>
          <w:rFonts w:asciiTheme="minorHAnsi" w:hAnsiTheme="minorHAnsi" w:cstheme="minorHAnsi"/>
          <w:sz w:val="22"/>
          <w:szCs w:val="22"/>
        </w:rPr>
        <w:t xml:space="preserve">, to </w:t>
      </w:r>
      <w:r>
        <w:rPr>
          <w:rFonts w:asciiTheme="minorHAnsi" w:hAnsiTheme="minorHAnsi" w:cstheme="minorHAnsi"/>
          <w:sz w:val="22"/>
          <w:szCs w:val="22"/>
        </w:rPr>
        <w:t xml:space="preserve">ratify loan approvals made by the RLF </w:t>
      </w:r>
      <w:proofErr w:type="gramStart"/>
      <w:r>
        <w:rPr>
          <w:rFonts w:asciiTheme="minorHAnsi" w:hAnsiTheme="minorHAnsi" w:cstheme="minorHAnsi"/>
          <w:sz w:val="22"/>
          <w:szCs w:val="22"/>
        </w:rPr>
        <w:t>Committee</w:t>
      </w:r>
      <w:r w:rsidRPr="00EA4D85">
        <w:rPr>
          <w:rFonts w:asciiTheme="minorHAnsi" w:hAnsiTheme="minorHAnsi" w:cstheme="minorHAnsi"/>
          <w:sz w:val="22"/>
          <w:szCs w:val="22"/>
        </w:rPr>
        <w:t>;</w:t>
      </w:r>
      <w:proofErr w:type="gramEnd"/>
      <w:r w:rsidRPr="00EA4D85">
        <w:rPr>
          <w:rFonts w:asciiTheme="minorHAnsi" w:hAnsiTheme="minorHAnsi" w:cstheme="minorHAnsi"/>
          <w:sz w:val="22"/>
          <w:szCs w:val="22"/>
        </w:rPr>
        <w:t xml:space="preserve"> </w:t>
      </w:r>
    </w:p>
    <w:p w14:paraId="0CAD0FAC" w14:textId="6F9B039A" w:rsidR="00D6760F" w:rsidRPr="005763F4" w:rsidRDefault="00A2182A" w:rsidP="004C3DCC">
      <w:pPr>
        <w:pStyle w:val="DefaultText"/>
        <w:numPr>
          <w:ilvl w:val="0"/>
          <w:numId w:val="17"/>
        </w:numPr>
        <w:rPr>
          <w:rFonts w:asciiTheme="minorHAnsi" w:hAnsiTheme="minorHAnsi" w:cstheme="minorHAnsi"/>
          <w:sz w:val="22"/>
          <w:szCs w:val="22"/>
        </w:rPr>
      </w:pPr>
      <w:r w:rsidRPr="005763F4">
        <w:rPr>
          <w:rFonts w:asciiTheme="minorHAnsi" w:hAnsiTheme="minorHAnsi" w:cstheme="minorHAnsi"/>
          <w:sz w:val="22"/>
          <w:szCs w:val="22"/>
        </w:rPr>
        <w:t xml:space="preserve">For loans </w:t>
      </w:r>
      <w:r w:rsidR="002259E6">
        <w:rPr>
          <w:rFonts w:asciiTheme="minorHAnsi" w:hAnsiTheme="minorHAnsi" w:cstheme="minorHAnsi"/>
          <w:sz w:val="22"/>
          <w:szCs w:val="22"/>
        </w:rPr>
        <w:t>over</w:t>
      </w:r>
      <w:r w:rsidRPr="005763F4">
        <w:rPr>
          <w:rFonts w:asciiTheme="minorHAnsi" w:hAnsiTheme="minorHAnsi" w:cstheme="minorHAnsi"/>
          <w:sz w:val="22"/>
          <w:szCs w:val="22"/>
        </w:rPr>
        <w:t xml:space="preserve"> </w:t>
      </w:r>
      <w:r w:rsidR="00316B47">
        <w:rPr>
          <w:rFonts w:asciiTheme="minorHAnsi" w:hAnsiTheme="minorHAnsi" w:cstheme="minorHAnsi"/>
          <w:sz w:val="22"/>
          <w:szCs w:val="22"/>
        </w:rPr>
        <w:t>$100,000 or complex deals</w:t>
      </w:r>
      <w:r w:rsidRPr="005763F4">
        <w:rPr>
          <w:rFonts w:asciiTheme="minorHAnsi" w:hAnsiTheme="minorHAnsi" w:cstheme="minorHAnsi"/>
          <w:sz w:val="22"/>
          <w:szCs w:val="22"/>
        </w:rPr>
        <w:t>, t</w:t>
      </w:r>
      <w:r w:rsidR="00D6760F" w:rsidRPr="005763F4">
        <w:rPr>
          <w:rFonts w:asciiTheme="minorHAnsi" w:hAnsiTheme="minorHAnsi" w:cstheme="minorHAnsi"/>
          <w:sz w:val="22"/>
          <w:szCs w:val="22"/>
        </w:rPr>
        <w:t xml:space="preserve">o review and approve loans and establish terms, </w:t>
      </w:r>
      <w:r w:rsidR="00A95932" w:rsidRPr="005763F4">
        <w:rPr>
          <w:rFonts w:asciiTheme="minorHAnsi" w:hAnsiTheme="minorHAnsi" w:cstheme="minorHAnsi"/>
          <w:sz w:val="22"/>
          <w:szCs w:val="22"/>
        </w:rPr>
        <w:t>rates,</w:t>
      </w:r>
      <w:r w:rsidR="00D6760F" w:rsidRPr="005763F4">
        <w:rPr>
          <w:rFonts w:asciiTheme="minorHAnsi" w:hAnsiTheme="minorHAnsi" w:cstheme="minorHAnsi"/>
          <w:sz w:val="22"/>
          <w:szCs w:val="22"/>
        </w:rPr>
        <w:t xml:space="preserve"> and other </w:t>
      </w:r>
      <w:proofErr w:type="gramStart"/>
      <w:r w:rsidR="00D6760F" w:rsidRPr="005763F4">
        <w:rPr>
          <w:rFonts w:asciiTheme="minorHAnsi" w:hAnsiTheme="minorHAnsi" w:cstheme="minorHAnsi"/>
          <w:sz w:val="22"/>
          <w:szCs w:val="22"/>
        </w:rPr>
        <w:t>conditions;</w:t>
      </w:r>
      <w:proofErr w:type="gramEnd"/>
      <w:r w:rsidR="00D6760F" w:rsidRPr="005763F4">
        <w:rPr>
          <w:rFonts w:asciiTheme="minorHAnsi" w:hAnsiTheme="minorHAnsi" w:cstheme="minorHAnsi"/>
          <w:sz w:val="22"/>
          <w:szCs w:val="22"/>
        </w:rPr>
        <w:t xml:space="preserve"> </w:t>
      </w:r>
    </w:p>
    <w:p w14:paraId="663EEB9C" w14:textId="148ACA91" w:rsidR="00D6760F" w:rsidRPr="005763F4" w:rsidRDefault="00D6760F" w:rsidP="004C3DCC">
      <w:pPr>
        <w:pStyle w:val="ListParagraph"/>
        <w:numPr>
          <w:ilvl w:val="0"/>
          <w:numId w:val="17"/>
        </w:numPr>
        <w:spacing w:after="0" w:line="240" w:lineRule="auto"/>
        <w:rPr>
          <w:rFonts w:cstheme="minorHAnsi"/>
        </w:rPr>
      </w:pPr>
      <w:r w:rsidRPr="005763F4">
        <w:rPr>
          <w:rFonts w:cstheme="minorHAnsi"/>
        </w:rPr>
        <w:t xml:space="preserve">To approve </w:t>
      </w:r>
      <w:r w:rsidR="00CB4E01" w:rsidRPr="005763F4">
        <w:rPr>
          <w:rFonts w:cstheme="minorHAnsi"/>
        </w:rPr>
        <w:t>contracts</w:t>
      </w:r>
      <w:r w:rsidRPr="005763F4">
        <w:rPr>
          <w:rFonts w:cstheme="minorHAnsi"/>
        </w:rPr>
        <w:t xml:space="preserve"> with third parties</w:t>
      </w:r>
      <w:r w:rsidR="00CB4E01" w:rsidRPr="005763F4">
        <w:rPr>
          <w:rFonts w:cstheme="minorHAnsi"/>
        </w:rPr>
        <w:t xml:space="preserve"> supporting NCNMEDD’s lending activities, in accordance with </w:t>
      </w:r>
      <w:r w:rsidR="0016773A" w:rsidRPr="005763F4">
        <w:rPr>
          <w:rFonts w:cstheme="minorHAnsi"/>
        </w:rPr>
        <w:t>NCNMEDD</w:t>
      </w:r>
      <w:r w:rsidR="0016773A">
        <w:rPr>
          <w:rFonts w:cstheme="minorHAnsi"/>
        </w:rPr>
        <w:t xml:space="preserve">’s </w:t>
      </w:r>
      <w:r w:rsidR="0016773A" w:rsidRPr="005763F4">
        <w:rPr>
          <w:rFonts w:cstheme="minorHAnsi"/>
        </w:rPr>
        <w:t>Procurement</w:t>
      </w:r>
      <w:r w:rsidR="00CB4E01" w:rsidRPr="005763F4">
        <w:rPr>
          <w:rFonts w:cstheme="minorHAnsi"/>
        </w:rPr>
        <w:t xml:space="preserve"> Polic</w:t>
      </w:r>
      <w:r w:rsidR="00352E46">
        <w:rPr>
          <w:rFonts w:cstheme="minorHAnsi"/>
        </w:rPr>
        <w:t>y</w:t>
      </w:r>
      <w:r w:rsidR="00CB4E01" w:rsidRPr="005763F4">
        <w:rPr>
          <w:rFonts w:cstheme="minorHAnsi"/>
        </w:rPr>
        <w:t>;</w:t>
      </w:r>
      <w:r w:rsidR="00EA4D85">
        <w:rPr>
          <w:rFonts w:cstheme="minorHAnsi"/>
        </w:rPr>
        <w:t xml:space="preserve"> and</w:t>
      </w:r>
    </w:p>
    <w:p w14:paraId="16E1AD5F" w14:textId="174C365C" w:rsidR="00D6760F" w:rsidRDefault="00D6760F" w:rsidP="004C3DCC">
      <w:pPr>
        <w:pStyle w:val="DefaultText"/>
        <w:numPr>
          <w:ilvl w:val="0"/>
          <w:numId w:val="17"/>
        </w:numPr>
        <w:rPr>
          <w:rFonts w:asciiTheme="minorHAnsi" w:hAnsiTheme="minorHAnsi" w:cstheme="minorHAnsi"/>
          <w:sz w:val="22"/>
          <w:szCs w:val="22"/>
        </w:rPr>
      </w:pPr>
      <w:r w:rsidRPr="005763F4">
        <w:rPr>
          <w:rFonts w:asciiTheme="minorHAnsi" w:hAnsiTheme="minorHAnsi" w:cstheme="minorHAnsi"/>
          <w:sz w:val="22"/>
          <w:szCs w:val="22"/>
        </w:rPr>
        <w:t>To make final decisions regarding loan collection or administration issues</w:t>
      </w:r>
      <w:r w:rsidR="0075671B">
        <w:rPr>
          <w:rFonts w:asciiTheme="minorHAnsi" w:hAnsiTheme="minorHAnsi" w:cstheme="minorHAnsi"/>
          <w:sz w:val="22"/>
          <w:szCs w:val="22"/>
        </w:rPr>
        <w:t>; and</w:t>
      </w:r>
    </w:p>
    <w:p w14:paraId="27F3C053" w14:textId="625CA786" w:rsidR="0075671B" w:rsidRPr="0085787B" w:rsidRDefault="0075671B" w:rsidP="004C3DCC">
      <w:pPr>
        <w:pStyle w:val="DefaultText"/>
        <w:numPr>
          <w:ilvl w:val="0"/>
          <w:numId w:val="17"/>
        </w:numPr>
        <w:rPr>
          <w:rFonts w:asciiTheme="minorHAnsi" w:hAnsiTheme="minorHAnsi" w:cstheme="minorHAnsi"/>
          <w:sz w:val="22"/>
          <w:szCs w:val="22"/>
        </w:rPr>
      </w:pPr>
      <w:r w:rsidRPr="0085787B">
        <w:rPr>
          <w:rFonts w:asciiTheme="minorHAnsi" w:hAnsiTheme="minorHAnsi" w:cstheme="minorHAnsi"/>
          <w:sz w:val="22"/>
          <w:szCs w:val="22"/>
        </w:rPr>
        <w:t xml:space="preserve">To accept or modify recommendations from the annual review of the loan loss reserve and risk ratings. </w:t>
      </w:r>
    </w:p>
    <w:p w14:paraId="0A001A5B" w14:textId="77777777" w:rsidR="00EA4D85" w:rsidRPr="005763F4" w:rsidRDefault="00EA4D85" w:rsidP="00EA4D85">
      <w:pPr>
        <w:pStyle w:val="DefaultText"/>
        <w:ind w:left="360"/>
        <w:rPr>
          <w:rFonts w:asciiTheme="minorHAnsi" w:hAnsiTheme="minorHAnsi" w:cstheme="minorHAnsi"/>
          <w:sz w:val="22"/>
          <w:szCs w:val="22"/>
        </w:rPr>
      </w:pPr>
    </w:p>
    <w:p w14:paraId="712CA9CE" w14:textId="4D63F0CD" w:rsidR="00990298" w:rsidRDefault="001E1FA6" w:rsidP="005C5814">
      <w:pPr>
        <w:pStyle w:val="DefaultText"/>
        <w:rPr>
          <w:rFonts w:asciiTheme="minorHAnsi" w:hAnsiTheme="minorHAnsi" w:cstheme="minorHAnsi"/>
          <w:sz w:val="22"/>
          <w:szCs w:val="22"/>
        </w:rPr>
      </w:pPr>
      <w:r w:rsidRPr="005C5814">
        <w:rPr>
          <w:rFonts w:asciiTheme="minorHAnsi" w:hAnsiTheme="minorHAnsi" w:cstheme="minorHAnsi"/>
          <w:sz w:val="22"/>
          <w:szCs w:val="22"/>
        </w:rPr>
        <w:t xml:space="preserve">The Executive Committee </w:t>
      </w:r>
      <w:r w:rsidR="00223E7C" w:rsidRPr="005C5814">
        <w:rPr>
          <w:rFonts w:asciiTheme="minorHAnsi" w:hAnsiTheme="minorHAnsi" w:cstheme="minorHAnsi"/>
          <w:sz w:val="22"/>
          <w:szCs w:val="22"/>
        </w:rPr>
        <w:t>appoints</w:t>
      </w:r>
      <w:r w:rsidRPr="005C5814">
        <w:rPr>
          <w:rFonts w:asciiTheme="minorHAnsi" w:hAnsiTheme="minorHAnsi" w:cstheme="minorHAnsi"/>
          <w:sz w:val="22"/>
          <w:szCs w:val="22"/>
        </w:rPr>
        <w:t xml:space="preserve"> a </w:t>
      </w:r>
      <w:r w:rsidR="00E83727" w:rsidRPr="0085787B">
        <w:rPr>
          <w:rFonts w:asciiTheme="minorHAnsi" w:hAnsiTheme="minorHAnsi" w:cstheme="minorHAnsi"/>
          <w:sz w:val="22"/>
          <w:szCs w:val="22"/>
        </w:rPr>
        <w:t xml:space="preserve">three-person </w:t>
      </w:r>
      <w:r w:rsidR="00837387" w:rsidRPr="0085787B">
        <w:rPr>
          <w:rFonts w:asciiTheme="minorHAnsi" w:hAnsiTheme="minorHAnsi" w:cstheme="minorHAnsi"/>
          <w:sz w:val="22"/>
          <w:szCs w:val="22"/>
        </w:rPr>
        <w:t>RLF</w:t>
      </w:r>
      <w:r w:rsidRPr="0085787B">
        <w:rPr>
          <w:rFonts w:asciiTheme="minorHAnsi" w:hAnsiTheme="minorHAnsi" w:cstheme="minorHAnsi"/>
          <w:sz w:val="22"/>
          <w:szCs w:val="22"/>
        </w:rPr>
        <w:t xml:space="preserve"> Committee</w:t>
      </w:r>
      <w:r w:rsidR="00D52E6D" w:rsidRPr="0085787B">
        <w:rPr>
          <w:rFonts w:asciiTheme="minorHAnsi" w:hAnsiTheme="minorHAnsi" w:cstheme="minorHAnsi"/>
          <w:sz w:val="22"/>
          <w:szCs w:val="22"/>
        </w:rPr>
        <w:t>, a majority of which has significant experience in the financial services industry,</w:t>
      </w:r>
      <w:r w:rsidR="00D52E6D">
        <w:rPr>
          <w:rFonts w:asciiTheme="minorHAnsi" w:hAnsiTheme="minorHAnsi" w:cstheme="minorHAnsi"/>
          <w:sz w:val="22"/>
          <w:szCs w:val="22"/>
        </w:rPr>
        <w:t xml:space="preserve"> </w:t>
      </w:r>
      <w:r w:rsidRPr="005C5814">
        <w:rPr>
          <w:rFonts w:asciiTheme="minorHAnsi" w:hAnsiTheme="minorHAnsi" w:cstheme="minorHAnsi"/>
          <w:sz w:val="22"/>
          <w:szCs w:val="22"/>
        </w:rPr>
        <w:t xml:space="preserve">to provide </w:t>
      </w:r>
      <w:r w:rsidR="00A16236" w:rsidRPr="005C5814">
        <w:rPr>
          <w:rFonts w:asciiTheme="minorHAnsi" w:hAnsiTheme="minorHAnsi" w:cstheme="minorHAnsi"/>
          <w:sz w:val="22"/>
          <w:szCs w:val="22"/>
        </w:rPr>
        <w:t xml:space="preserve">more frequent </w:t>
      </w:r>
      <w:r w:rsidR="009B5371" w:rsidRPr="005C5814">
        <w:rPr>
          <w:rFonts w:asciiTheme="minorHAnsi" w:hAnsiTheme="minorHAnsi" w:cstheme="minorHAnsi"/>
          <w:sz w:val="22"/>
          <w:szCs w:val="22"/>
        </w:rPr>
        <w:t>and detailed review of lending activities</w:t>
      </w:r>
      <w:r w:rsidR="00D1448F" w:rsidRPr="005C5814">
        <w:rPr>
          <w:rFonts w:asciiTheme="minorHAnsi" w:hAnsiTheme="minorHAnsi" w:cstheme="minorHAnsi"/>
          <w:sz w:val="22"/>
          <w:szCs w:val="22"/>
        </w:rPr>
        <w:t xml:space="preserve">. </w:t>
      </w:r>
      <w:r w:rsidR="005C5814" w:rsidRPr="005C5814">
        <w:rPr>
          <w:rFonts w:asciiTheme="minorHAnsi" w:hAnsiTheme="minorHAnsi" w:cstheme="minorHAnsi"/>
          <w:sz w:val="22"/>
          <w:szCs w:val="22"/>
        </w:rPr>
        <w:t xml:space="preserve">A majority vote of the RLF Committee is required for formal action on any matter.  These votes may be recorded through a meeting or via email. </w:t>
      </w:r>
      <w:r w:rsidR="004221DB" w:rsidRPr="005C5814">
        <w:rPr>
          <w:rFonts w:asciiTheme="minorHAnsi" w:hAnsiTheme="minorHAnsi" w:cstheme="minorHAnsi"/>
          <w:sz w:val="22"/>
          <w:szCs w:val="22"/>
        </w:rPr>
        <w:t>The RLF</w:t>
      </w:r>
      <w:r w:rsidR="00D1448F" w:rsidRPr="005C5814">
        <w:rPr>
          <w:rFonts w:asciiTheme="minorHAnsi" w:hAnsiTheme="minorHAnsi" w:cstheme="minorHAnsi"/>
          <w:sz w:val="22"/>
          <w:szCs w:val="22"/>
        </w:rPr>
        <w:t xml:space="preserve"> Committee is responsible </w:t>
      </w:r>
      <w:r w:rsidR="00990298" w:rsidRPr="005C5814">
        <w:rPr>
          <w:rFonts w:asciiTheme="minorHAnsi" w:hAnsiTheme="minorHAnsi" w:cstheme="minorHAnsi"/>
          <w:sz w:val="22"/>
          <w:szCs w:val="22"/>
        </w:rPr>
        <w:t>for the following:</w:t>
      </w:r>
    </w:p>
    <w:p w14:paraId="07069AF1" w14:textId="77777777" w:rsidR="005C5814" w:rsidRPr="005C5814" w:rsidRDefault="005C5814" w:rsidP="005C5814">
      <w:pPr>
        <w:pStyle w:val="DefaultText"/>
        <w:rPr>
          <w:rFonts w:asciiTheme="minorHAnsi" w:hAnsiTheme="minorHAnsi" w:cstheme="minorHAnsi"/>
          <w:sz w:val="22"/>
          <w:szCs w:val="22"/>
        </w:rPr>
      </w:pPr>
    </w:p>
    <w:p w14:paraId="60E1246A" w14:textId="622C3A04" w:rsidR="004470B8" w:rsidRPr="00EA4D85" w:rsidRDefault="004470B8" w:rsidP="004C3DCC">
      <w:pPr>
        <w:pStyle w:val="DefaultText"/>
        <w:numPr>
          <w:ilvl w:val="0"/>
          <w:numId w:val="18"/>
        </w:numPr>
        <w:rPr>
          <w:rFonts w:asciiTheme="minorHAnsi" w:hAnsiTheme="minorHAnsi" w:cstheme="minorHAnsi"/>
          <w:sz w:val="22"/>
          <w:szCs w:val="22"/>
        </w:rPr>
      </w:pPr>
      <w:r w:rsidRPr="00EA4D85">
        <w:rPr>
          <w:rFonts w:asciiTheme="minorHAnsi" w:hAnsiTheme="minorHAnsi" w:cstheme="minorHAnsi"/>
          <w:sz w:val="22"/>
          <w:szCs w:val="22"/>
        </w:rPr>
        <w:t xml:space="preserve">To recommend amendments to this Policy as </w:t>
      </w:r>
      <w:proofErr w:type="gramStart"/>
      <w:r w:rsidRPr="00EA4D85">
        <w:rPr>
          <w:rFonts w:asciiTheme="minorHAnsi" w:hAnsiTheme="minorHAnsi" w:cstheme="minorHAnsi"/>
          <w:sz w:val="22"/>
          <w:szCs w:val="22"/>
        </w:rPr>
        <w:t>needed;</w:t>
      </w:r>
      <w:proofErr w:type="gramEnd"/>
      <w:r w:rsidRPr="00EA4D85">
        <w:rPr>
          <w:rFonts w:asciiTheme="minorHAnsi" w:hAnsiTheme="minorHAnsi" w:cstheme="minorHAnsi"/>
          <w:sz w:val="22"/>
          <w:szCs w:val="22"/>
        </w:rPr>
        <w:t xml:space="preserve"> </w:t>
      </w:r>
    </w:p>
    <w:p w14:paraId="383EE76D" w14:textId="5DA3FE51" w:rsidR="004470B8" w:rsidRPr="00EA4D85" w:rsidRDefault="004470B8" w:rsidP="004C3DCC">
      <w:pPr>
        <w:pStyle w:val="DefaultText"/>
        <w:numPr>
          <w:ilvl w:val="0"/>
          <w:numId w:val="18"/>
        </w:numPr>
        <w:rPr>
          <w:rFonts w:asciiTheme="minorHAnsi" w:hAnsiTheme="minorHAnsi" w:cstheme="minorHAnsi"/>
          <w:sz w:val="22"/>
          <w:szCs w:val="22"/>
        </w:rPr>
      </w:pPr>
      <w:r w:rsidRPr="00EA4D85">
        <w:rPr>
          <w:rFonts w:asciiTheme="minorHAnsi" w:hAnsiTheme="minorHAnsi" w:cstheme="minorHAnsi"/>
          <w:sz w:val="22"/>
          <w:szCs w:val="22"/>
        </w:rPr>
        <w:t xml:space="preserve">To </w:t>
      </w:r>
      <w:r w:rsidR="009B76F6" w:rsidRPr="00EA4D85">
        <w:rPr>
          <w:rFonts w:asciiTheme="minorHAnsi" w:hAnsiTheme="minorHAnsi" w:cstheme="minorHAnsi"/>
          <w:sz w:val="22"/>
          <w:szCs w:val="22"/>
        </w:rPr>
        <w:t xml:space="preserve">recommend application for and acceptance of </w:t>
      </w:r>
      <w:r w:rsidRPr="00EA4D85">
        <w:rPr>
          <w:rFonts w:asciiTheme="minorHAnsi" w:hAnsiTheme="minorHAnsi" w:cstheme="minorHAnsi"/>
          <w:sz w:val="22"/>
          <w:szCs w:val="22"/>
        </w:rPr>
        <w:t xml:space="preserve">capital </w:t>
      </w:r>
      <w:proofErr w:type="gramStart"/>
      <w:r w:rsidRPr="00EA4D85">
        <w:rPr>
          <w:rFonts w:asciiTheme="minorHAnsi" w:hAnsiTheme="minorHAnsi" w:cstheme="minorHAnsi"/>
          <w:sz w:val="22"/>
          <w:szCs w:val="22"/>
        </w:rPr>
        <w:t>contributions;</w:t>
      </w:r>
      <w:proofErr w:type="gramEnd"/>
    </w:p>
    <w:p w14:paraId="3B163E14" w14:textId="6B83774A" w:rsidR="004470B8" w:rsidRPr="00EA4D85" w:rsidRDefault="004470B8" w:rsidP="004C3DCC">
      <w:pPr>
        <w:pStyle w:val="DefaultText"/>
        <w:numPr>
          <w:ilvl w:val="0"/>
          <w:numId w:val="18"/>
        </w:numPr>
        <w:rPr>
          <w:rFonts w:asciiTheme="minorHAnsi" w:hAnsiTheme="minorHAnsi" w:cstheme="minorHAnsi"/>
          <w:sz w:val="22"/>
          <w:szCs w:val="22"/>
        </w:rPr>
      </w:pPr>
      <w:r w:rsidRPr="00EA4D85">
        <w:rPr>
          <w:rFonts w:asciiTheme="minorHAnsi" w:hAnsiTheme="minorHAnsi" w:cstheme="minorHAnsi"/>
          <w:sz w:val="22"/>
          <w:szCs w:val="22"/>
        </w:rPr>
        <w:t xml:space="preserve">For loans under </w:t>
      </w:r>
      <w:r w:rsidR="00316B47">
        <w:rPr>
          <w:rFonts w:asciiTheme="minorHAnsi" w:hAnsiTheme="minorHAnsi" w:cstheme="minorHAnsi"/>
          <w:sz w:val="22"/>
          <w:szCs w:val="22"/>
        </w:rPr>
        <w:t>$100,000</w:t>
      </w:r>
      <w:r w:rsidRPr="00EA4D85">
        <w:rPr>
          <w:rFonts w:asciiTheme="minorHAnsi" w:hAnsiTheme="minorHAnsi" w:cstheme="minorHAnsi"/>
          <w:sz w:val="22"/>
          <w:szCs w:val="22"/>
        </w:rPr>
        <w:t xml:space="preserve">, to review and approve loans and establish terms, </w:t>
      </w:r>
      <w:r w:rsidR="00A95932" w:rsidRPr="00EA4D85">
        <w:rPr>
          <w:rFonts w:asciiTheme="minorHAnsi" w:hAnsiTheme="minorHAnsi" w:cstheme="minorHAnsi"/>
          <w:sz w:val="22"/>
          <w:szCs w:val="22"/>
        </w:rPr>
        <w:t>rates,</w:t>
      </w:r>
      <w:r w:rsidRPr="00EA4D85">
        <w:rPr>
          <w:rFonts w:asciiTheme="minorHAnsi" w:hAnsiTheme="minorHAnsi" w:cstheme="minorHAnsi"/>
          <w:sz w:val="22"/>
          <w:szCs w:val="22"/>
        </w:rPr>
        <w:t xml:space="preserve"> and other </w:t>
      </w:r>
      <w:proofErr w:type="gramStart"/>
      <w:r w:rsidRPr="00EA4D85">
        <w:rPr>
          <w:rFonts w:asciiTheme="minorHAnsi" w:hAnsiTheme="minorHAnsi" w:cstheme="minorHAnsi"/>
          <w:sz w:val="22"/>
          <w:szCs w:val="22"/>
        </w:rPr>
        <w:t>conditions;</w:t>
      </w:r>
      <w:proofErr w:type="gramEnd"/>
      <w:r w:rsidRPr="00EA4D85">
        <w:rPr>
          <w:rFonts w:asciiTheme="minorHAnsi" w:hAnsiTheme="minorHAnsi" w:cstheme="minorHAnsi"/>
          <w:sz w:val="22"/>
          <w:szCs w:val="22"/>
        </w:rPr>
        <w:t xml:space="preserve"> </w:t>
      </w:r>
    </w:p>
    <w:p w14:paraId="05069DEA" w14:textId="09130A72" w:rsidR="002259E6" w:rsidRPr="0085787B" w:rsidRDefault="002259E6" w:rsidP="004C3DCC">
      <w:pPr>
        <w:pStyle w:val="DefaultText"/>
        <w:numPr>
          <w:ilvl w:val="0"/>
          <w:numId w:val="18"/>
        </w:numPr>
        <w:rPr>
          <w:rFonts w:asciiTheme="minorHAnsi" w:hAnsiTheme="minorHAnsi" w:cstheme="minorHAnsi"/>
          <w:sz w:val="22"/>
          <w:szCs w:val="22"/>
        </w:rPr>
      </w:pPr>
      <w:r w:rsidRPr="00E83727">
        <w:rPr>
          <w:rFonts w:asciiTheme="minorHAnsi" w:hAnsiTheme="minorHAnsi" w:cstheme="minorHAnsi"/>
          <w:sz w:val="22"/>
          <w:szCs w:val="22"/>
        </w:rPr>
        <w:t xml:space="preserve">For loans over </w:t>
      </w:r>
      <w:r w:rsidR="00316B47" w:rsidRPr="00E83727">
        <w:rPr>
          <w:rFonts w:asciiTheme="minorHAnsi" w:hAnsiTheme="minorHAnsi" w:cstheme="minorHAnsi"/>
          <w:sz w:val="22"/>
          <w:szCs w:val="22"/>
        </w:rPr>
        <w:t>$100,000</w:t>
      </w:r>
      <w:r w:rsidR="00E83727" w:rsidRPr="00E83727">
        <w:rPr>
          <w:rFonts w:asciiTheme="minorHAnsi" w:hAnsiTheme="minorHAnsi" w:cstheme="minorHAnsi"/>
          <w:sz w:val="22"/>
          <w:szCs w:val="22"/>
        </w:rPr>
        <w:t xml:space="preserve"> or </w:t>
      </w:r>
      <w:r w:rsidR="00316B47" w:rsidRPr="00E83727">
        <w:rPr>
          <w:rFonts w:asciiTheme="minorHAnsi" w:hAnsiTheme="minorHAnsi" w:cstheme="minorHAnsi"/>
          <w:sz w:val="22"/>
          <w:szCs w:val="22"/>
        </w:rPr>
        <w:t>complex</w:t>
      </w:r>
      <w:r w:rsidR="00316B47" w:rsidRPr="0085787B">
        <w:rPr>
          <w:rFonts w:asciiTheme="minorHAnsi" w:hAnsiTheme="minorHAnsi" w:cstheme="minorHAnsi"/>
          <w:sz w:val="22"/>
          <w:szCs w:val="22"/>
        </w:rPr>
        <w:t xml:space="preserve"> </w:t>
      </w:r>
      <w:r w:rsidR="00E83727" w:rsidRPr="0085787B">
        <w:rPr>
          <w:rFonts w:asciiTheme="minorHAnsi" w:hAnsiTheme="minorHAnsi" w:cstheme="minorHAnsi"/>
          <w:sz w:val="22"/>
          <w:szCs w:val="22"/>
        </w:rPr>
        <w:t xml:space="preserve">or unusual </w:t>
      </w:r>
      <w:r w:rsidR="00316B47" w:rsidRPr="0085787B">
        <w:rPr>
          <w:rFonts w:asciiTheme="minorHAnsi" w:hAnsiTheme="minorHAnsi" w:cstheme="minorHAnsi"/>
          <w:sz w:val="22"/>
          <w:szCs w:val="22"/>
        </w:rPr>
        <w:t>deals</w:t>
      </w:r>
      <w:r w:rsidRPr="0085787B">
        <w:rPr>
          <w:rFonts w:asciiTheme="minorHAnsi" w:hAnsiTheme="minorHAnsi" w:cstheme="minorHAnsi"/>
          <w:sz w:val="22"/>
          <w:szCs w:val="22"/>
        </w:rPr>
        <w:t xml:space="preserve">, </w:t>
      </w:r>
      <w:r w:rsidRPr="00EA4D85">
        <w:rPr>
          <w:rFonts w:asciiTheme="minorHAnsi" w:hAnsiTheme="minorHAnsi" w:cstheme="minorHAnsi"/>
          <w:sz w:val="22"/>
          <w:szCs w:val="22"/>
        </w:rPr>
        <w:t xml:space="preserve">to review and recommend </w:t>
      </w:r>
      <w:r w:rsidR="009F7330">
        <w:rPr>
          <w:rFonts w:asciiTheme="minorHAnsi" w:hAnsiTheme="minorHAnsi" w:cstheme="minorHAnsi"/>
          <w:sz w:val="22"/>
          <w:szCs w:val="22"/>
        </w:rPr>
        <w:t xml:space="preserve">to the Executive Committee </w:t>
      </w:r>
      <w:r w:rsidRPr="00EA4D85">
        <w:rPr>
          <w:rFonts w:asciiTheme="minorHAnsi" w:hAnsiTheme="minorHAnsi" w:cstheme="minorHAnsi"/>
          <w:sz w:val="22"/>
          <w:szCs w:val="22"/>
        </w:rPr>
        <w:t xml:space="preserve">approval, denial, terms, </w:t>
      </w:r>
      <w:r w:rsidR="00A95932" w:rsidRPr="00EA4D85">
        <w:rPr>
          <w:rFonts w:asciiTheme="minorHAnsi" w:hAnsiTheme="minorHAnsi" w:cstheme="minorHAnsi"/>
          <w:sz w:val="22"/>
          <w:szCs w:val="22"/>
        </w:rPr>
        <w:t>rates,</w:t>
      </w:r>
      <w:r w:rsidRPr="00EA4D85">
        <w:rPr>
          <w:rFonts w:asciiTheme="minorHAnsi" w:hAnsiTheme="minorHAnsi" w:cstheme="minorHAnsi"/>
          <w:sz w:val="22"/>
          <w:szCs w:val="22"/>
        </w:rPr>
        <w:t xml:space="preserve"> and other conditions</w:t>
      </w:r>
      <w:r w:rsidR="00E83727">
        <w:rPr>
          <w:rFonts w:asciiTheme="minorHAnsi" w:hAnsiTheme="minorHAnsi" w:cstheme="minorHAnsi"/>
          <w:sz w:val="22"/>
          <w:szCs w:val="22"/>
        </w:rPr>
        <w:t xml:space="preserve">. </w:t>
      </w:r>
      <w:r w:rsidR="00E83727" w:rsidRPr="0085787B">
        <w:rPr>
          <w:rFonts w:asciiTheme="minorHAnsi" w:hAnsiTheme="minorHAnsi" w:cstheme="minorHAnsi"/>
          <w:sz w:val="22"/>
          <w:szCs w:val="22"/>
        </w:rPr>
        <w:t>Regardless of the loan amount, the RLF Committee may forward for consideration to the Executive Committee any loan that requires an additional or higher level of review.</w:t>
      </w:r>
    </w:p>
    <w:p w14:paraId="5F5853CA" w14:textId="370778AF" w:rsidR="004470B8" w:rsidRPr="00EA4D85" w:rsidRDefault="004470B8" w:rsidP="004C3DCC">
      <w:pPr>
        <w:pStyle w:val="ListParagraph"/>
        <w:numPr>
          <w:ilvl w:val="0"/>
          <w:numId w:val="18"/>
        </w:numPr>
        <w:spacing w:after="0" w:line="240" w:lineRule="auto"/>
        <w:rPr>
          <w:rFonts w:cstheme="minorHAnsi"/>
        </w:rPr>
      </w:pPr>
      <w:r w:rsidRPr="00EA4D85">
        <w:rPr>
          <w:rFonts w:cstheme="minorHAnsi"/>
        </w:rPr>
        <w:t xml:space="preserve">To </w:t>
      </w:r>
      <w:r w:rsidR="00912B0D" w:rsidRPr="00EA4D85">
        <w:rPr>
          <w:rFonts w:cstheme="minorHAnsi"/>
        </w:rPr>
        <w:t>recommend</w:t>
      </w:r>
      <w:r w:rsidRPr="00EA4D85">
        <w:rPr>
          <w:rFonts w:cstheme="minorHAnsi"/>
        </w:rPr>
        <w:t xml:space="preserve"> contracts with third parties supporting NCNMEDD’s lending activities, in accordance with </w:t>
      </w:r>
      <w:r w:rsidR="00583798" w:rsidRPr="00EA4D85">
        <w:rPr>
          <w:rFonts w:cstheme="minorHAnsi"/>
        </w:rPr>
        <w:t>NCNMEDD’s Procurement</w:t>
      </w:r>
      <w:r w:rsidRPr="00EA4D85">
        <w:rPr>
          <w:rFonts w:cstheme="minorHAnsi"/>
        </w:rPr>
        <w:t xml:space="preserve"> </w:t>
      </w:r>
      <w:proofErr w:type="gramStart"/>
      <w:r w:rsidRPr="00EA4D85">
        <w:rPr>
          <w:rFonts w:cstheme="minorHAnsi"/>
        </w:rPr>
        <w:t>Polic</w:t>
      </w:r>
      <w:r w:rsidR="00352E46" w:rsidRPr="00EA4D85">
        <w:rPr>
          <w:rFonts w:cstheme="minorHAnsi"/>
        </w:rPr>
        <w:t>y</w:t>
      </w:r>
      <w:r w:rsidRPr="00EA4D85">
        <w:rPr>
          <w:rFonts w:cstheme="minorHAnsi"/>
        </w:rPr>
        <w:t>;</w:t>
      </w:r>
      <w:proofErr w:type="gramEnd"/>
    </w:p>
    <w:p w14:paraId="1EF9F79E" w14:textId="03D7B731" w:rsidR="00A32332" w:rsidRDefault="00352E46" w:rsidP="004C3DCC">
      <w:pPr>
        <w:pStyle w:val="DefaultText"/>
        <w:numPr>
          <w:ilvl w:val="0"/>
          <w:numId w:val="18"/>
        </w:numPr>
        <w:rPr>
          <w:rFonts w:asciiTheme="minorHAnsi" w:hAnsiTheme="minorHAnsi" w:cstheme="minorHAnsi"/>
          <w:sz w:val="22"/>
          <w:szCs w:val="22"/>
        </w:rPr>
      </w:pPr>
      <w:r w:rsidRPr="00EA4D85">
        <w:rPr>
          <w:rFonts w:asciiTheme="minorHAnsi" w:hAnsiTheme="minorHAnsi" w:cstheme="minorHAnsi"/>
          <w:sz w:val="22"/>
          <w:szCs w:val="22"/>
        </w:rPr>
        <w:t>To m</w:t>
      </w:r>
      <w:r w:rsidR="00C60113" w:rsidRPr="00EA4D85">
        <w:rPr>
          <w:rFonts w:asciiTheme="minorHAnsi" w:hAnsiTheme="minorHAnsi" w:cstheme="minorHAnsi"/>
          <w:sz w:val="22"/>
          <w:szCs w:val="22"/>
        </w:rPr>
        <w:t>ake recommendations</w:t>
      </w:r>
      <w:r w:rsidR="004470B8" w:rsidRPr="00EA4D85">
        <w:rPr>
          <w:rFonts w:asciiTheme="minorHAnsi" w:hAnsiTheme="minorHAnsi" w:cstheme="minorHAnsi"/>
          <w:sz w:val="22"/>
          <w:szCs w:val="22"/>
        </w:rPr>
        <w:t xml:space="preserve"> regarding loan collection</w:t>
      </w:r>
      <w:r w:rsidR="00A32332" w:rsidRPr="00EA4D85">
        <w:rPr>
          <w:rFonts w:asciiTheme="minorHAnsi" w:hAnsiTheme="minorHAnsi" w:cstheme="minorHAnsi"/>
          <w:sz w:val="22"/>
          <w:szCs w:val="22"/>
        </w:rPr>
        <w:t xml:space="preserve"> and </w:t>
      </w:r>
      <w:r w:rsidRPr="00EA4D85">
        <w:rPr>
          <w:rFonts w:asciiTheme="minorHAnsi" w:hAnsiTheme="minorHAnsi" w:cstheme="minorHAnsi"/>
          <w:sz w:val="22"/>
          <w:szCs w:val="22"/>
        </w:rPr>
        <w:t xml:space="preserve">administration </w:t>
      </w:r>
      <w:proofErr w:type="gramStart"/>
      <w:r w:rsidRPr="00EA4D85">
        <w:rPr>
          <w:rFonts w:asciiTheme="minorHAnsi" w:hAnsiTheme="minorHAnsi" w:cstheme="minorHAnsi"/>
          <w:sz w:val="22"/>
          <w:szCs w:val="22"/>
        </w:rPr>
        <w:t>issues</w:t>
      </w:r>
      <w:r w:rsidR="00A32332" w:rsidRPr="00EA4D85">
        <w:rPr>
          <w:rFonts w:asciiTheme="minorHAnsi" w:hAnsiTheme="minorHAnsi" w:cstheme="minorHAnsi"/>
          <w:sz w:val="22"/>
          <w:szCs w:val="22"/>
        </w:rPr>
        <w:t>;</w:t>
      </w:r>
      <w:proofErr w:type="gramEnd"/>
    </w:p>
    <w:p w14:paraId="059B8276" w14:textId="01BED7CB" w:rsidR="0075671B" w:rsidRPr="0085787B" w:rsidRDefault="0075671B" w:rsidP="004C3DCC">
      <w:pPr>
        <w:pStyle w:val="DefaultText"/>
        <w:numPr>
          <w:ilvl w:val="0"/>
          <w:numId w:val="18"/>
        </w:numPr>
        <w:rPr>
          <w:rFonts w:asciiTheme="minorHAnsi" w:hAnsiTheme="minorHAnsi" w:cstheme="minorHAnsi"/>
          <w:sz w:val="22"/>
          <w:szCs w:val="22"/>
        </w:rPr>
      </w:pPr>
      <w:r w:rsidRPr="0085787B">
        <w:rPr>
          <w:rFonts w:asciiTheme="minorHAnsi" w:hAnsiTheme="minorHAnsi" w:cstheme="minorHAnsi"/>
          <w:sz w:val="22"/>
          <w:szCs w:val="22"/>
        </w:rPr>
        <w:t xml:space="preserve">To oversee an annual review of the loan loss reserve and risk </w:t>
      </w:r>
      <w:proofErr w:type="gramStart"/>
      <w:r w:rsidRPr="0085787B">
        <w:rPr>
          <w:rFonts w:asciiTheme="minorHAnsi" w:hAnsiTheme="minorHAnsi" w:cstheme="minorHAnsi"/>
          <w:sz w:val="22"/>
          <w:szCs w:val="22"/>
        </w:rPr>
        <w:t>ratings;</w:t>
      </w:r>
      <w:proofErr w:type="gramEnd"/>
      <w:r w:rsidRPr="0085787B">
        <w:rPr>
          <w:rFonts w:asciiTheme="minorHAnsi" w:hAnsiTheme="minorHAnsi" w:cstheme="minorHAnsi"/>
          <w:sz w:val="22"/>
          <w:szCs w:val="22"/>
        </w:rPr>
        <w:t xml:space="preserve"> </w:t>
      </w:r>
    </w:p>
    <w:p w14:paraId="3B950EBB" w14:textId="39402CD0" w:rsidR="00322235" w:rsidRPr="00EA4D85" w:rsidRDefault="00352E46" w:rsidP="004C3DCC">
      <w:pPr>
        <w:pStyle w:val="DefaultText"/>
        <w:numPr>
          <w:ilvl w:val="0"/>
          <w:numId w:val="18"/>
        </w:numPr>
        <w:rPr>
          <w:rFonts w:asciiTheme="minorHAnsi" w:hAnsiTheme="minorHAnsi" w:cstheme="minorHAnsi"/>
          <w:sz w:val="22"/>
          <w:szCs w:val="22"/>
        </w:rPr>
      </w:pPr>
      <w:r w:rsidRPr="00EA4D85">
        <w:rPr>
          <w:rFonts w:asciiTheme="minorHAnsi" w:hAnsiTheme="minorHAnsi" w:cstheme="minorHAnsi"/>
          <w:sz w:val="22"/>
          <w:szCs w:val="22"/>
        </w:rPr>
        <w:t>To i</w:t>
      </w:r>
      <w:r w:rsidR="00322235" w:rsidRPr="00EA4D85">
        <w:rPr>
          <w:rFonts w:asciiTheme="minorHAnsi" w:hAnsiTheme="minorHAnsi" w:cstheme="minorHAnsi"/>
          <w:sz w:val="22"/>
          <w:szCs w:val="22"/>
        </w:rPr>
        <w:t>nitiate and approve day-to-day procedural changes and paperwork as needed;</w:t>
      </w:r>
      <w:r w:rsidR="00694B16" w:rsidRPr="00EA4D85">
        <w:rPr>
          <w:rFonts w:asciiTheme="minorHAnsi" w:hAnsiTheme="minorHAnsi" w:cstheme="minorHAnsi"/>
          <w:sz w:val="22"/>
          <w:szCs w:val="22"/>
        </w:rPr>
        <w:t xml:space="preserve"> and </w:t>
      </w:r>
    </w:p>
    <w:p w14:paraId="066E4D74" w14:textId="3AA22B96" w:rsidR="00352E46" w:rsidRPr="00EA4D85" w:rsidRDefault="008566D9" w:rsidP="004C3DCC">
      <w:pPr>
        <w:pStyle w:val="DefaultText"/>
        <w:numPr>
          <w:ilvl w:val="0"/>
          <w:numId w:val="18"/>
        </w:numPr>
      </w:pPr>
      <w:r>
        <w:rPr>
          <w:rFonts w:asciiTheme="minorHAnsi" w:hAnsiTheme="minorHAnsi" w:cstheme="minorHAnsi"/>
          <w:sz w:val="22"/>
          <w:szCs w:val="22"/>
        </w:rPr>
        <w:t>To p</w:t>
      </w:r>
      <w:r w:rsidR="0044389F" w:rsidRPr="00EA4D85">
        <w:rPr>
          <w:rFonts w:asciiTheme="minorHAnsi" w:hAnsiTheme="minorHAnsi" w:cstheme="minorHAnsi"/>
          <w:sz w:val="22"/>
          <w:szCs w:val="22"/>
        </w:rPr>
        <w:t>rovide direction and guidance to</w:t>
      </w:r>
      <w:r w:rsidR="00322235" w:rsidRPr="00EA4D85">
        <w:rPr>
          <w:rFonts w:asciiTheme="minorHAnsi" w:hAnsiTheme="minorHAnsi" w:cstheme="minorHAnsi"/>
          <w:sz w:val="22"/>
          <w:szCs w:val="22"/>
        </w:rPr>
        <w:t xml:space="preserve"> the </w:t>
      </w:r>
      <w:r w:rsidR="00694B16" w:rsidRPr="00EA4D85">
        <w:rPr>
          <w:rFonts w:asciiTheme="minorHAnsi" w:hAnsiTheme="minorHAnsi" w:cstheme="minorHAnsi"/>
          <w:sz w:val="22"/>
          <w:szCs w:val="22"/>
        </w:rPr>
        <w:t xml:space="preserve">NCNMEDD staff </w:t>
      </w:r>
      <w:r w:rsidR="00352E46" w:rsidRPr="00EA4D85">
        <w:rPr>
          <w:rFonts w:asciiTheme="minorHAnsi" w:hAnsiTheme="minorHAnsi" w:cstheme="minorHAnsi"/>
          <w:sz w:val="22"/>
          <w:szCs w:val="22"/>
        </w:rPr>
        <w:t>performing</w:t>
      </w:r>
      <w:r w:rsidR="00694B16" w:rsidRPr="00EA4D85">
        <w:rPr>
          <w:rFonts w:asciiTheme="minorHAnsi" w:hAnsiTheme="minorHAnsi" w:cstheme="minorHAnsi"/>
          <w:sz w:val="22"/>
          <w:szCs w:val="22"/>
        </w:rPr>
        <w:t xml:space="preserve"> lending activities. </w:t>
      </w:r>
      <w:r w:rsidR="00322235" w:rsidRPr="00EA4D85">
        <w:rPr>
          <w:rFonts w:asciiTheme="minorHAnsi" w:hAnsiTheme="minorHAnsi" w:cstheme="minorHAnsi"/>
          <w:sz w:val="22"/>
          <w:szCs w:val="22"/>
        </w:rPr>
        <w:t xml:space="preserve"> </w:t>
      </w:r>
    </w:p>
    <w:p w14:paraId="6C173B06" w14:textId="77777777" w:rsidR="00352E46" w:rsidRPr="00EA4D85" w:rsidRDefault="00352E46" w:rsidP="00352E46">
      <w:pPr>
        <w:pStyle w:val="DefaultText"/>
        <w:ind w:left="720"/>
        <w:rPr>
          <w:rFonts w:asciiTheme="minorHAnsi" w:hAnsiTheme="minorHAnsi" w:cstheme="minorHAnsi"/>
          <w:sz w:val="22"/>
          <w:szCs w:val="22"/>
        </w:rPr>
      </w:pPr>
    </w:p>
    <w:p w14:paraId="708F1F61" w14:textId="3F40088A" w:rsidR="00E41F3A" w:rsidRDefault="003626F8" w:rsidP="00E41F3A">
      <w:pPr>
        <w:pStyle w:val="Heading2"/>
      </w:pPr>
      <w:bookmarkStart w:id="14" w:name="_Toc74578188"/>
      <w:r>
        <w:t xml:space="preserve">5.2 </w:t>
      </w:r>
      <w:r w:rsidR="00E41F3A">
        <w:t>Loan Approval Processes</w:t>
      </w:r>
      <w:bookmarkEnd w:id="14"/>
    </w:p>
    <w:p w14:paraId="05904391" w14:textId="7B24DA94" w:rsidR="0034338A" w:rsidRDefault="00431C0E" w:rsidP="001E1FA6">
      <w:r>
        <w:t xml:space="preserve">NCNMEDD’s </w:t>
      </w:r>
      <w:r w:rsidR="004E674B">
        <w:t xml:space="preserve">shall designate a </w:t>
      </w:r>
      <w:r w:rsidR="0034338A">
        <w:t xml:space="preserve">Loan Officer </w:t>
      </w:r>
      <w:r w:rsidR="004E674B">
        <w:t xml:space="preserve">who </w:t>
      </w:r>
      <w:r w:rsidR="0034338A">
        <w:t xml:space="preserve">will </w:t>
      </w:r>
      <w:r>
        <w:t>accept</w:t>
      </w:r>
      <w:r w:rsidR="0034338A">
        <w:t xml:space="preserve"> applications for RLF loans, underwrite the loans, and prepare a </w:t>
      </w:r>
      <w:r w:rsidR="003A35E0">
        <w:t xml:space="preserve">loan write-up for the </w:t>
      </w:r>
      <w:r w:rsidR="0034338A">
        <w:t>RLF Committee</w:t>
      </w:r>
      <w:r w:rsidR="003A35E0">
        <w:t xml:space="preserve">’s review. The loan write-up will contain, at minimum: </w:t>
      </w:r>
      <w:r w:rsidR="0034338A">
        <w:t xml:space="preserve"> </w:t>
      </w:r>
    </w:p>
    <w:p w14:paraId="4FE26909" w14:textId="0C3FFEEA" w:rsidR="00221859" w:rsidRDefault="00221859" w:rsidP="001E1FA6">
      <w:r>
        <w:t>Summary of Loan Application:</w:t>
      </w:r>
    </w:p>
    <w:p w14:paraId="34151A5C" w14:textId="454310AD" w:rsidR="000A2C98" w:rsidRDefault="000A2C98" w:rsidP="00BE68EC">
      <w:pPr>
        <w:pStyle w:val="ListParagraph"/>
        <w:numPr>
          <w:ilvl w:val="0"/>
          <w:numId w:val="19"/>
        </w:numPr>
      </w:pPr>
      <w:r>
        <w:lastRenderedPageBreak/>
        <w:t xml:space="preserve">Loan Request: </w:t>
      </w:r>
      <w:r w:rsidR="00C97213">
        <w:t>The amount</w:t>
      </w:r>
      <w:r>
        <w:t xml:space="preserve"> of the request and the recommended monthly amortization and term.</w:t>
      </w:r>
    </w:p>
    <w:p w14:paraId="38466025" w14:textId="77777777" w:rsidR="00C97213" w:rsidRDefault="00C97213" w:rsidP="00C97213">
      <w:pPr>
        <w:pStyle w:val="ListParagraph"/>
        <w:numPr>
          <w:ilvl w:val="0"/>
          <w:numId w:val="19"/>
        </w:numPr>
      </w:pPr>
      <w:r>
        <w:t xml:space="preserve">Interest: Indicate the rate, specifying if fixed or floating rate. </w:t>
      </w:r>
    </w:p>
    <w:p w14:paraId="724E4AD1" w14:textId="720D83E6" w:rsidR="00102355" w:rsidRDefault="00102355" w:rsidP="00102355">
      <w:pPr>
        <w:pStyle w:val="ListParagraph"/>
        <w:numPr>
          <w:ilvl w:val="0"/>
          <w:numId w:val="19"/>
        </w:numPr>
      </w:pPr>
      <w:r>
        <w:t xml:space="preserve">Use of Funds and Purpose: </w:t>
      </w:r>
      <w:r w:rsidR="00165915">
        <w:t>Use of</w:t>
      </w:r>
      <w:r>
        <w:t xml:space="preserve"> loan funds by category </w:t>
      </w:r>
      <w:proofErr w:type="gramStart"/>
      <w:r w:rsidR="00165915">
        <w:t>(</w:t>
      </w:r>
      <w:r>
        <w:t xml:space="preserve"> fixed</w:t>
      </w:r>
      <w:proofErr w:type="gramEnd"/>
      <w:r>
        <w:t xml:space="preserve"> asset financing, leasehold improvements, working capital, etc.</w:t>
      </w:r>
      <w:r w:rsidR="00165915">
        <w:t>).</w:t>
      </w:r>
      <w:r>
        <w:t xml:space="preserve"> </w:t>
      </w:r>
    </w:p>
    <w:p w14:paraId="03E67C96" w14:textId="77777777" w:rsidR="00102355" w:rsidRDefault="00102355" w:rsidP="00102355">
      <w:pPr>
        <w:pStyle w:val="ListParagraph"/>
        <w:numPr>
          <w:ilvl w:val="0"/>
          <w:numId w:val="19"/>
        </w:numPr>
      </w:pPr>
      <w:r>
        <w:t xml:space="preserve">Borrower Description: Type of entity (corporation, partnership, sole proprietorship), list of owners and their percentage of the business. </w:t>
      </w:r>
    </w:p>
    <w:p w14:paraId="3C463399" w14:textId="71F06A7D" w:rsidR="00102355" w:rsidRDefault="00102355" w:rsidP="00102355">
      <w:pPr>
        <w:pStyle w:val="ListParagraph"/>
        <w:numPr>
          <w:ilvl w:val="0"/>
          <w:numId w:val="19"/>
        </w:numPr>
      </w:pPr>
      <w:r>
        <w:t xml:space="preserve">Guarantor Description: </w:t>
      </w:r>
      <w:r w:rsidR="00165915">
        <w:t>Names</w:t>
      </w:r>
      <w:r>
        <w:t xml:space="preserve"> and relationships of the guarantors to the owners of the business.  </w:t>
      </w:r>
    </w:p>
    <w:p w14:paraId="2F4432CB" w14:textId="7C0F59EB" w:rsidR="00102355" w:rsidRDefault="00102355" w:rsidP="00102355">
      <w:pPr>
        <w:pStyle w:val="ListParagraph"/>
        <w:numPr>
          <w:ilvl w:val="0"/>
          <w:numId w:val="19"/>
        </w:numPr>
      </w:pPr>
      <w:r>
        <w:t xml:space="preserve">Description of Business: Background and history of business operations, including a brief industry analysis. </w:t>
      </w:r>
    </w:p>
    <w:p w14:paraId="551E2237" w14:textId="0685828A" w:rsidR="00BE4CE2" w:rsidRDefault="00BE4CE2" w:rsidP="002D77CB">
      <w:pPr>
        <w:pStyle w:val="ListParagraph"/>
        <w:numPr>
          <w:ilvl w:val="0"/>
          <w:numId w:val="19"/>
        </w:numPr>
      </w:pPr>
      <w:r>
        <w:t>Public Benefit</w:t>
      </w:r>
      <w:r w:rsidR="003D0AE3">
        <w:t>: Benefit</w:t>
      </w:r>
      <w:r>
        <w:t xml:space="preserve"> of this loan in terms of jobs </w:t>
      </w:r>
      <w:r w:rsidR="002D77CB">
        <w:t xml:space="preserve">created, </w:t>
      </w:r>
      <w:r>
        <w:t xml:space="preserve">retained and/or </w:t>
      </w:r>
      <w:r w:rsidR="002D77CB">
        <w:t>saved</w:t>
      </w:r>
      <w:r>
        <w:t xml:space="preserve">. </w:t>
      </w:r>
      <w:r w:rsidR="002D77CB">
        <w:t xml:space="preserve">Jobs saved are defined as jobs that would be imminently lost without RLF assistance. </w:t>
      </w:r>
      <w:r>
        <w:t xml:space="preserve">Indicate the value of this borrower to the community. </w:t>
      </w:r>
    </w:p>
    <w:p w14:paraId="5142907F" w14:textId="48FB5407" w:rsidR="00BE4CE2" w:rsidRDefault="00BE4CE2" w:rsidP="00BE4CE2">
      <w:pPr>
        <w:pStyle w:val="ListParagraph"/>
        <w:numPr>
          <w:ilvl w:val="0"/>
          <w:numId w:val="19"/>
        </w:numPr>
      </w:pPr>
      <w:r>
        <w:t>Environmental Issues</w:t>
      </w:r>
      <w:r w:rsidR="00CE3CD7">
        <w:t>: Environmental</w:t>
      </w:r>
      <w:r>
        <w:t xml:space="preserve"> issues</w:t>
      </w:r>
      <w:r w:rsidR="00677D3D">
        <w:t xml:space="preserve"> identified at the location of the busines</w:t>
      </w:r>
      <w:r w:rsidR="00EE6506">
        <w:t>s, if</w:t>
      </w:r>
      <w:r w:rsidR="00677D3D">
        <w:t xml:space="preserve"> applicable. Identify</w:t>
      </w:r>
      <w:r>
        <w:t xml:space="preserve"> actions the borrower must take to comply with any environmental findings or requirements.</w:t>
      </w:r>
    </w:p>
    <w:p w14:paraId="0305911B" w14:textId="197746A9" w:rsidR="00221859" w:rsidRDefault="00221859" w:rsidP="00221859">
      <w:pPr>
        <w:pStyle w:val="ListParagraph"/>
        <w:numPr>
          <w:ilvl w:val="0"/>
          <w:numId w:val="19"/>
        </w:numPr>
      </w:pPr>
      <w:r>
        <w:t xml:space="preserve">Collateral: </w:t>
      </w:r>
      <w:r w:rsidR="00CE3CD7">
        <w:t>Collateral</w:t>
      </w:r>
      <w:r>
        <w:t xml:space="preserve"> pledged for this loan and indicate the secured position. If property is being pledged, show the present market value and net equity available. Date of appraisal, name of appraiser and loan to value </w:t>
      </w:r>
      <w:r w:rsidR="00CE3CD7">
        <w:t>shall</w:t>
      </w:r>
      <w:r>
        <w:t xml:space="preserve"> also be included. </w:t>
      </w:r>
    </w:p>
    <w:p w14:paraId="325B67B4" w14:textId="77777777" w:rsidR="00221859" w:rsidRPr="00BE68EC" w:rsidRDefault="00221859" w:rsidP="00221859">
      <w:pPr>
        <w:pStyle w:val="ListParagraph"/>
        <w:numPr>
          <w:ilvl w:val="0"/>
          <w:numId w:val="19"/>
        </w:numPr>
      </w:pPr>
      <w:r w:rsidRPr="00BE68EC">
        <w:t xml:space="preserve">Loan Fees: Describe any loan fees charged. </w:t>
      </w:r>
    </w:p>
    <w:p w14:paraId="4F7C3A1C" w14:textId="77777777" w:rsidR="00221859" w:rsidRDefault="00221859" w:rsidP="00BE68EC">
      <w:pPr>
        <w:pStyle w:val="ListParagraph"/>
      </w:pPr>
    </w:p>
    <w:p w14:paraId="73F97438" w14:textId="056D9164" w:rsidR="00BE4CE2" w:rsidRDefault="00221859" w:rsidP="00BE68EC">
      <w:pPr>
        <w:pStyle w:val="ListParagraph"/>
        <w:ind w:hanging="630"/>
      </w:pPr>
      <w:r>
        <w:t xml:space="preserve">Analysis </w:t>
      </w:r>
      <w:r w:rsidR="00BE68EC">
        <w:t>and Recommendation</w:t>
      </w:r>
      <w:r>
        <w:t xml:space="preserve">: </w:t>
      </w:r>
    </w:p>
    <w:p w14:paraId="576F535D" w14:textId="77777777" w:rsidR="00BE68EC" w:rsidRDefault="00BE68EC" w:rsidP="00BE68EC">
      <w:pPr>
        <w:pStyle w:val="ListParagraph"/>
        <w:ind w:hanging="630"/>
      </w:pPr>
    </w:p>
    <w:p w14:paraId="138E65A0" w14:textId="3D75345C" w:rsidR="00102355" w:rsidRDefault="00102355" w:rsidP="00CE3CD7">
      <w:pPr>
        <w:pStyle w:val="ListParagraph"/>
        <w:numPr>
          <w:ilvl w:val="0"/>
          <w:numId w:val="20"/>
        </w:numPr>
      </w:pPr>
      <w:r>
        <w:t xml:space="preserve">Eligibility: Indicate if borrower and the use of funds </w:t>
      </w:r>
      <w:r w:rsidR="009F5406">
        <w:t>are</w:t>
      </w:r>
      <w:r>
        <w:t xml:space="preserve"> eligible based on criteria established in the Policy and applicable Funding Source Agreements. </w:t>
      </w:r>
    </w:p>
    <w:p w14:paraId="79AA7EFE" w14:textId="0A853400" w:rsidR="007C6F65" w:rsidRDefault="00583798" w:rsidP="00CE3CD7">
      <w:pPr>
        <w:pStyle w:val="ListParagraph"/>
        <w:numPr>
          <w:ilvl w:val="0"/>
          <w:numId w:val="20"/>
        </w:numPr>
      </w:pPr>
      <w:r>
        <w:t xml:space="preserve">Credit Report: </w:t>
      </w:r>
      <w:r w:rsidR="00EE6506">
        <w:t>Analysis</w:t>
      </w:r>
      <w:r>
        <w:t xml:space="preserve"> of the credit reports obtained on the principals, guarantors, and </w:t>
      </w:r>
      <w:r w:rsidR="009F5406">
        <w:t>the business</w:t>
      </w:r>
      <w:r>
        <w:t xml:space="preserve">. </w:t>
      </w:r>
    </w:p>
    <w:p w14:paraId="5A016BAE" w14:textId="498BC612" w:rsidR="007C6F65" w:rsidRDefault="00583798" w:rsidP="00CE3CD7">
      <w:pPr>
        <w:pStyle w:val="ListParagraph"/>
        <w:numPr>
          <w:ilvl w:val="0"/>
          <w:numId w:val="20"/>
        </w:numPr>
      </w:pPr>
      <w:r>
        <w:t xml:space="preserve">Financial Analysis: </w:t>
      </w:r>
      <w:r w:rsidR="00EE6506">
        <w:t>Analysis of</w:t>
      </w:r>
      <w:r>
        <w:t xml:space="preserve"> the company's financial performance as reflected by its financial statements</w:t>
      </w:r>
      <w:r w:rsidR="007C6F65">
        <w:t xml:space="preserve"> and projections</w:t>
      </w:r>
      <w:r w:rsidR="00EE6506">
        <w:t>,</w:t>
      </w:r>
      <w:r w:rsidR="007C6F65">
        <w:t xml:space="preserve"> if applicable</w:t>
      </w:r>
      <w:r>
        <w:t xml:space="preserve">. </w:t>
      </w:r>
    </w:p>
    <w:p w14:paraId="2362F833" w14:textId="0BA27436" w:rsidR="007C6F65" w:rsidRDefault="00583798" w:rsidP="00CE3CD7">
      <w:pPr>
        <w:pStyle w:val="ListParagraph"/>
        <w:numPr>
          <w:ilvl w:val="0"/>
          <w:numId w:val="20"/>
        </w:numPr>
      </w:pPr>
      <w:r>
        <w:t xml:space="preserve">Personal Financial Analysis: </w:t>
      </w:r>
      <w:r w:rsidR="007C6F65">
        <w:t>A</w:t>
      </w:r>
      <w:r>
        <w:t xml:space="preserve">nalysis of the principal's and guarantor(s) personal financial statements. </w:t>
      </w:r>
    </w:p>
    <w:p w14:paraId="7F66CE08" w14:textId="19BA09A8" w:rsidR="00037B2C" w:rsidRPr="0085787B" w:rsidRDefault="00037B2C" w:rsidP="00CE3CD7">
      <w:pPr>
        <w:pStyle w:val="ListParagraph"/>
        <w:numPr>
          <w:ilvl w:val="0"/>
          <w:numId w:val="20"/>
        </w:numPr>
        <w:rPr>
          <w:u w:val="single"/>
        </w:rPr>
      </w:pPr>
      <w:r>
        <w:t xml:space="preserve">Recommendation: </w:t>
      </w:r>
      <w:r w:rsidR="00847BEA">
        <w:t>Recommendation to approve, approve with conditions or deny the loan</w:t>
      </w:r>
      <w:r>
        <w:t xml:space="preserve"> based on analysis of the business' industry, its place in that industry, financial analysis, and ability to repay.</w:t>
      </w:r>
      <w:r w:rsidR="0075671B">
        <w:t xml:space="preserve"> </w:t>
      </w:r>
      <w:r w:rsidR="0075671B" w:rsidRPr="0085787B">
        <w:t>The recommendation will include a Risk Rating of 1 or 2 (see Table 1).</w:t>
      </w:r>
      <w:r w:rsidR="0075671B" w:rsidRPr="0085787B">
        <w:rPr>
          <w:u w:val="single"/>
        </w:rPr>
        <w:t xml:space="preserve"> </w:t>
      </w:r>
    </w:p>
    <w:p w14:paraId="17B532D0" w14:textId="77777777" w:rsidR="00037B2C" w:rsidRDefault="00037B2C" w:rsidP="00BE68EC">
      <w:pPr>
        <w:pStyle w:val="ListParagraph"/>
      </w:pPr>
    </w:p>
    <w:p w14:paraId="566BEB35" w14:textId="6ED7F7B0" w:rsidR="001E1FA6" w:rsidRDefault="001E1FA6" w:rsidP="002A0CC3">
      <w:r>
        <w:t xml:space="preserve">For loans </w:t>
      </w:r>
      <w:r w:rsidR="009C1283">
        <w:t xml:space="preserve">of </w:t>
      </w:r>
      <w:r w:rsidR="00316B47">
        <w:t>$100,000</w:t>
      </w:r>
      <w:r w:rsidR="009C1283">
        <w:t xml:space="preserve"> or more</w:t>
      </w:r>
      <w:r>
        <w:t xml:space="preserve">, the Loan Officer will present the loan </w:t>
      </w:r>
      <w:r w:rsidR="00E5021A">
        <w:t xml:space="preserve">write-up </w:t>
      </w:r>
      <w:r>
        <w:t>to the RLF Committee</w:t>
      </w:r>
      <w:r w:rsidR="00E5021A">
        <w:t>. The RLF Committee will vote to recommend approval, approval with conditions or denial of the loan.</w:t>
      </w:r>
      <w:r>
        <w:t xml:space="preserve"> </w:t>
      </w:r>
      <w:r w:rsidR="002A0CC3">
        <w:t xml:space="preserve">After recommendation, </w:t>
      </w:r>
      <w:r w:rsidR="00E5021A">
        <w:t>the loan will be</w:t>
      </w:r>
      <w:r>
        <w:t xml:space="preserve"> placed on the </w:t>
      </w:r>
      <w:r w:rsidR="002A0CC3">
        <w:t xml:space="preserve">following month’s Executive Committee </w:t>
      </w:r>
      <w:r>
        <w:t xml:space="preserve">agenda.  Loan approval requires a majority vote of a quorum of voting members.  </w:t>
      </w:r>
      <w:r w:rsidR="00BA7BF9">
        <w:t>The</w:t>
      </w:r>
      <w:r>
        <w:t xml:space="preserve"> motion </w:t>
      </w:r>
      <w:r w:rsidR="002A0CC3">
        <w:t xml:space="preserve">will </w:t>
      </w:r>
      <w:r>
        <w:t>include</w:t>
      </w:r>
      <w:r w:rsidR="002A0CC3">
        <w:t xml:space="preserve"> </w:t>
      </w:r>
      <w:r w:rsidR="00F21E59">
        <w:t xml:space="preserve">all </w:t>
      </w:r>
      <w:r w:rsidR="00BA7BF9">
        <w:t xml:space="preserve">exceptions, conditions or </w:t>
      </w:r>
      <w:r w:rsidR="001E3938">
        <w:t>special</w:t>
      </w:r>
      <w:r>
        <w:t xml:space="preserve"> terms </w:t>
      </w:r>
      <w:r w:rsidR="00F21E59">
        <w:t>imposed</w:t>
      </w:r>
      <w:r>
        <w:t xml:space="preserve"> on the borrowe</w:t>
      </w:r>
      <w:r w:rsidR="002A0CC3">
        <w:t>r</w:t>
      </w:r>
      <w:r>
        <w:t xml:space="preserve">.  Minutes of the Executive Committee are corporate and public records and constitute legal documentation of formal action on the loan. </w:t>
      </w:r>
    </w:p>
    <w:p w14:paraId="052B3D47" w14:textId="1194D0F3" w:rsidR="001E1FA6" w:rsidRDefault="001E1FA6" w:rsidP="001E1FA6">
      <w:r>
        <w:lastRenderedPageBreak/>
        <w:t xml:space="preserve">For loans </w:t>
      </w:r>
      <w:r w:rsidR="009C1283">
        <w:t xml:space="preserve">of </w:t>
      </w:r>
      <w:r w:rsidR="00316B47">
        <w:t>$100,000</w:t>
      </w:r>
      <w:r>
        <w:t xml:space="preserve"> or less, the Loan Officer </w:t>
      </w:r>
      <w:r w:rsidR="002A0CC3">
        <w:t>will present the loan</w:t>
      </w:r>
      <w:r w:rsidR="00F21E59">
        <w:t xml:space="preserve"> write-up</w:t>
      </w:r>
      <w:r w:rsidR="002A0CC3">
        <w:t xml:space="preserve"> to the RLF Committee</w:t>
      </w:r>
      <w:r>
        <w:t xml:space="preserve">. </w:t>
      </w:r>
      <w:r w:rsidR="00F27E47">
        <w:t xml:space="preserve">The RLF Committee will vote approve, approve with </w:t>
      </w:r>
      <w:r w:rsidR="00A95932">
        <w:t>conditions,</w:t>
      </w:r>
      <w:r w:rsidR="00F27E47">
        <w:t xml:space="preserve"> or deny the loan. </w:t>
      </w:r>
      <w:r>
        <w:t xml:space="preserve">Loan approval requires a majority vote of the Committee. Voting may be conducted at scheduled meetings or on </w:t>
      </w:r>
      <w:r w:rsidR="00212B35">
        <w:t>an</w:t>
      </w:r>
      <w:r>
        <w:t xml:space="preserve"> as</w:t>
      </w:r>
      <w:r w:rsidR="00212B35">
        <w:t>-</w:t>
      </w:r>
      <w:r>
        <w:t>needed basis through email. NCNMEDD shall maintain all documentation of votes</w:t>
      </w:r>
      <w:r w:rsidR="00A50A46">
        <w:t xml:space="preserve">. The motion will include all exceptions, conditions or special terms imposed on the borrower. </w:t>
      </w:r>
      <w:r>
        <w:t xml:space="preserve">The </w:t>
      </w:r>
      <w:r w:rsidR="002A0CC3">
        <w:t xml:space="preserve">Executive Committee </w:t>
      </w:r>
      <w:r>
        <w:t xml:space="preserve">then ratifies the RLF Committee’s decision at </w:t>
      </w:r>
      <w:r w:rsidR="004E674B">
        <w:t>its</w:t>
      </w:r>
      <w:r>
        <w:t xml:space="preserve"> next meeting.  </w:t>
      </w:r>
    </w:p>
    <w:p w14:paraId="1D5586AE" w14:textId="63174FCF" w:rsidR="00E41F3A" w:rsidRDefault="001E1FA6" w:rsidP="001E1FA6">
      <w:r>
        <w:t xml:space="preserve">Once a loan is approved, the Loan Officer notifies the borrower and/or the participating bank of the decision in writing.  A commitment letter is sent if the </w:t>
      </w:r>
      <w:r w:rsidR="002A0CC3">
        <w:t>loan is approved</w:t>
      </w:r>
      <w:r w:rsidR="00212B35">
        <w:t>. A</w:t>
      </w:r>
      <w:r w:rsidR="002A0CC3">
        <w:t xml:space="preserve"> </w:t>
      </w:r>
      <w:r>
        <w:t xml:space="preserve">standard decline letter is </w:t>
      </w:r>
      <w:r w:rsidR="00212B35">
        <w:t>sen</w:t>
      </w:r>
      <w:r w:rsidR="005C5814">
        <w:t>t</w:t>
      </w:r>
      <w:r w:rsidR="00212B35">
        <w:t xml:space="preserve"> </w:t>
      </w:r>
      <w:r>
        <w:t xml:space="preserve">when the loan is </w:t>
      </w:r>
      <w:r w:rsidR="00212B35">
        <w:t>denied</w:t>
      </w:r>
      <w:r>
        <w:t>.</w:t>
      </w:r>
    </w:p>
    <w:p w14:paraId="24ACF12B" w14:textId="05418AB8" w:rsidR="00E41F3A" w:rsidRDefault="003626F8" w:rsidP="00E41F3A">
      <w:pPr>
        <w:pStyle w:val="Heading2"/>
      </w:pPr>
      <w:bookmarkStart w:id="15" w:name="_Toc74578189"/>
      <w:r>
        <w:t xml:space="preserve">5.3 </w:t>
      </w:r>
      <w:r w:rsidR="00E41F3A">
        <w:t>Accounting Processes</w:t>
      </w:r>
      <w:bookmarkEnd w:id="15"/>
    </w:p>
    <w:p w14:paraId="30682B7A" w14:textId="5D1730B0" w:rsidR="00E41F3A" w:rsidRDefault="002A0CC3" w:rsidP="00E41F3A">
      <w:r>
        <w:t xml:space="preserve">NCNMEDD </w:t>
      </w:r>
      <w:r w:rsidR="00E41F3A">
        <w:t xml:space="preserve">may </w:t>
      </w:r>
      <w:r w:rsidR="00F51B92">
        <w:t>include</w:t>
      </w:r>
      <w:r w:rsidR="00E41F3A">
        <w:t xml:space="preserve"> different sources of funds </w:t>
      </w:r>
      <w:r w:rsidR="00F51B92">
        <w:t>in a single</w:t>
      </w:r>
      <w:r w:rsidR="00E41F3A">
        <w:t xml:space="preserve"> loan to a borrower.  NCNMEDD will follow each funding source’s restrictions and keep separate booked accounts for </w:t>
      </w:r>
      <w:r w:rsidR="00E4463E">
        <w:t xml:space="preserve">each </w:t>
      </w:r>
      <w:r w:rsidR="00444723">
        <w:t>source</w:t>
      </w:r>
      <w:r w:rsidR="00E41F3A">
        <w:t xml:space="preserve">.  </w:t>
      </w:r>
    </w:p>
    <w:p w14:paraId="146755E0" w14:textId="7C53B51D" w:rsidR="00E41F3A" w:rsidRDefault="00E41F3A" w:rsidP="00E41F3A">
      <w:r>
        <w:t>When an RLF loan is funded, all sources will be listed</w:t>
      </w:r>
      <w:r w:rsidR="002A0CC3">
        <w:t xml:space="preserve">.  All </w:t>
      </w:r>
      <w:r>
        <w:t xml:space="preserve">repayments, interest payments, and fees will be remitted to each funding source </w:t>
      </w:r>
      <w:r w:rsidR="002A0CC3">
        <w:t>according to the ratio of funding sources</w:t>
      </w:r>
      <w:r>
        <w:t xml:space="preserve">.  Internally, this will be done by assigning a “letter” to each source that funds are taken from, for example: </w:t>
      </w:r>
    </w:p>
    <w:p w14:paraId="1310CCB5" w14:textId="1E3B4AB1" w:rsidR="00E41F3A" w:rsidRDefault="002A0CC3" w:rsidP="00E41F3A">
      <w:pPr>
        <w:pStyle w:val="ListParagraph"/>
        <w:numPr>
          <w:ilvl w:val="0"/>
          <w:numId w:val="1"/>
        </w:numPr>
      </w:pPr>
      <w:r>
        <w:t>AB</w:t>
      </w:r>
      <w:r w:rsidR="00E41F3A">
        <w:t>001 – this represents the loan number and total loan amount for a loan.</w:t>
      </w:r>
    </w:p>
    <w:p w14:paraId="0689F00F" w14:textId="3F4EFCAC" w:rsidR="00E41F3A" w:rsidRDefault="002A0CC3" w:rsidP="00E41F3A">
      <w:pPr>
        <w:pStyle w:val="ListParagraph"/>
        <w:numPr>
          <w:ilvl w:val="0"/>
          <w:numId w:val="1"/>
        </w:numPr>
      </w:pPr>
      <w:r>
        <w:t>AB</w:t>
      </w:r>
      <w:r w:rsidR="00E41F3A">
        <w:t>001-A –</w:t>
      </w:r>
      <w:r w:rsidR="00444723">
        <w:t>the amount of funding</w:t>
      </w:r>
      <w:r w:rsidR="000C3043">
        <w:t xml:space="preserve"> from Source A.</w:t>
      </w:r>
    </w:p>
    <w:p w14:paraId="05865B99" w14:textId="4ADA2E70" w:rsidR="002A0CC3" w:rsidRDefault="002A0CC3" w:rsidP="002A0CC3">
      <w:pPr>
        <w:pStyle w:val="ListParagraph"/>
        <w:numPr>
          <w:ilvl w:val="0"/>
          <w:numId w:val="1"/>
        </w:numPr>
      </w:pPr>
      <w:r>
        <w:t>AB</w:t>
      </w:r>
      <w:r w:rsidR="00E41F3A">
        <w:t>001-B –</w:t>
      </w:r>
      <w:r w:rsidR="00444723">
        <w:t xml:space="preserve">the amount of funding </w:t>
      </w:r>
      <w:r>
        <w:t>from Source B.</w:t>
      </w:r>
    </w:p>
    <w:p w14:paraId="2ECB7DFF" w14:textId="699BB047" w:rsidR="00E41F3A" w:rsidRDefault="002A0CC3" w:rsidP="000C3043">
      <w:pPr>
        <w:pStyle w:val="ListParagraph"/>
        <w:numPr>
          <w:ilvl w:val="0"/>
          <w:numId w:val="1"/>
        </w:numPr>
      </w:pPr>
      <w:r>
        <w:t>AB</w:t>
      </w:r>
      <w:r w:rsidR="00E41F3A">
        <w:t xml:space="preserve">001-C – </w:t>
      </w:r>
      <w:r w:rsidR="00444723">
        <w:t>the amount of funding</w:t>
      </w:r>
      <w:r w:rsidR="000C3043">
        <w:t xml:space="preserve"> from Source C.</w:t>
      </w:r>
    </w:p>
    <w:p w14:paraId="4FAD71FB" w14:textId="7F60E3D5" w:rsidR="00E41F3A" w:rsidRDefault="00E41F3A" w:rsidP="00E41F3A">
      <w:r>
        <w:t xml:space="preserve">While the borrower will make one payment on </w:t>
      </w:r>
      <w:r w:rsidR="000C3043">
        <w:t>AB001</w:t>
      </w:r>
      <w:r>
        <w:t>, internally NCNMEDD will track the payments to each of their individual sources based on the proportion of the loan that each source funded.</w:t>
      </w:r>
      <w:r w:rsidR="000C3043">
        <w:t xml:space="preserve">  </w:t>
      </w:r>
      <w:r w:rsidR="00837387">
        <w:t>This ensures a</w:t>
      </w:r>
      <w:r w:rsidR="000C3043">
        <w:t xml:space="preserve"> booked separation of each funding source </w:t>
      </w:r>
      <w:r w:rsidR="00837387">
        <w:t>for</w:t>
      </w:r>
      <w:r w:rsidR="000C3043">
        <w:t xml:space="preserve"> ease of reporting and tracking.  </w:t>
      </w:r>
    </w:p>
    <w:p w14:paraId="26BB41DE" w14:textId="7E16CE42" w:rsidR="00BD647E" w:rsidRDefault="003626F8" w:rsidP="00BD647E">
      <w:pPr>
        <w:pStyle w:val="Heading2"/>
      </w:pPr>
      <w:bookmarkStart w:id="16" w:name="_Toc74578190"/>
      <w:r>
        <w:t xml:space="preserve">5.4 </w:t>
      </w:r>
      <w:r w:rsidR="00BD647E" w:rsidRPr="004C3DCC">
        <w:t>Reporting</w:t>
      </w:r>
      <w:bookmarkEnd w:id="16"/>
    </w:p>
    <w:p w14:paraId="78DAAA40" w14:textId="09B030E3" w:rsidR="00BD647E" w:rsidRPr="002C5278" w:rsidRDefault="00BD647E" w:rsidP="00BD647E">
      <w:r>
        <w:t xml:space="preserve">Unless otherwise specified in the funding source agreements, NCNMEDD will compile monthly loan reports and portfolios to track loan performance for the </w:t>
      </w:r>
      <w:r w:rsidR="00837387">
        <w:t>RLF</w:t>
      </w:r>
      <w:r w:rsidR="004C3DCC">
        <w:t xml:space="preserve"> </w:t>
      </w:r>
      <w:r>
        <w:t xml:space="preserve">Committee and Executive Committee.  </w:t>
      </w:r>
    </w:p>
    <w:p w14:paraId="77C259D3" w14:textId="61387E5B" w:rsidR="00BD647E" w:rsidRDefault="003626F8" w:rsidP="00BD647E">
      <w:pPr>
        <w:pStyle w:val="Heading2"/>
      </w:pPr>
      <w:bookmarkStart w:id="17" w:name="_Toc74578191"/>
      <w:r>
        <w:t xml:space="preserve">5.5 </w:t>
      </w:r>
      <w:r w:rsidR="00BD647E" w:rsidRPr="004C3DCC">
        <w:t>Loan Loss Reserve and Risk Ratings</w:t>
      </w:r>
      <w:bookmarkEnd w:id="17"/>
    </w:p>
    <w:p w14:paraId="75FCE82A" w14:textId="3EE0EF75" w:rsidR="00BD647E" w:rsidRDefault="00BD647E" w:rsidP="00BD647E">
      <w:r>
        <w:t xml:space="preserve">Unless otherwise specified in the funding source agreements, NCNMEDD will seek to create a loan loss </w:t>
      </w:r>
      <w:r w:rsidRPr="0085787B">
        <w:t>reserve</w:t>
      </w:r>
      <w:r w:rsidR="0075671B" w:rsidRPr="0085787B">
        <w:t xml:space="preserve"> in accordance with the Financial Accounting Standards Board (FASB)</w:t>
      </w:r>
      <w:r w:rsidRPr="0085787B">
        <w:t>.</w:t>
      </w:r>
      <w:r>
        <w:t xml:space="preserve">  Each loan will be assigned a Risk Rating when underwritten in accordance with Table 1. </w:t>
      </w:r>
      <w:r w:rsidR="00B73BAE">
        <w:t xml:space="preserve">Loans approved by </w:t>
      </w:r>
      <w:r>
        <w:t xml:space="preserve">NCNMEDD </w:t>
      </w:r>
      <w:r w:rsidR="00E95080">
        <w:t xml:space="preserve">shall </w:t>
      </w:r>
      <w:r w:rsidR="00B73BAE">
        <w:t xml:space="preserve">have a </w:t>
      </w:r>
      <w:r w:rsidR="00350665">
        <w:t>r</w:t>
      </w:r>
      <w:r>
        <w:t xml:space="preserve">isk </w:t>
      </w:r>
      <w:r w:rsidR="00350665">
        <w:t>r</w:t>
      </w:r>
      <w:r>
        <w:t>ating of 1 or 2</w:t>
      </w:r>
      <w:r w:rsidR="00B73BAE">
        <w:t xml:space="preserve">, while existing loans </w:t>
      </w:r>
      <w:r w:rsidR="00E95080">
        <w:t>shall</w:t>
      </w:r>
      <w:r w:rsidR="00B73BAE">
        <w:t xml:space="preserve"> have </w:t>
      </w:r>
      <w:r w:rsidR="00350665">
        <w:t>r</w:t>
      </w:r>
      <w:r w:rsidR="00B73BAE">
        <w:t xml:space="preserve">isk </w:t>
      </w:r>
      <w:r w:rsidR="00350665">
        <w:t>r</w:t>
      </w:r>
      <w:r w:rsidR="00B73BAE">
        <w:t xml:space="preserve">atings of 1-5. </w:t>
      </w:r>
      <w:r>
        <w:t xml:space="preserve">  </w:t>
      </w:r>
    </w:p>
    <w:p w14:paraId="62750405" w14:textId="25750383" w:rsidR="000C1AFB" w:rsidRDefault="00BD647E" w:rsidP="00BD647E">
      <w:r>
        <w:t xml:space="preserve">The loan loss reserve will be booked as a non-cash booked expense in anticipation of loan defaults as </w:t>
      </w:r>
      <w:r w:rsidR="00350665">
        <w:t>NCNMEDD</w:t>
      </w:r>
      <w:r>
        <w:t xml:space="preserve"> expands its lending capacity.  It will not be a funded set-aside.  </w:t>
      </w:r>
      <w:r w:rsidR="00E83727">
        <w:t>On an annual basis</w:t>
      </w:r>
      <w:r>
        <w:t xml:space="preserve">, </w:t>
      </w:r>
      <w:r w:rsidR="00E83727" w:rsidRPr="0085787B">
        <w:t xml:space="preserve">NCNMEDD will </w:t>
      </w:r>
      <w:r w:rsidR="0075671B" w:rsidRPr="0085787B">
        <w:t>commission</w:t>
      </w:r>
      <w:r w:rsidR="00E83727" w:rsidRPr="0085787B">
        <w:t xml:space="preserve"> a third-party, independent review of the loan loss reserve and risk ratings</w:t>
      </w:r>
      <w:r w:rsidR="0075671B" w:rsidRPr="0085787B">
        <w:t>. The review and recommendations will be reported</w:t>
      </w:r>
      <w:r w:rsidR="00E83727" w:rsidRPr="0085787B">
        <w:t xml:space="preserve"> to the RLF Committee and Executive Committee. </w:t>
      </w:r>
      <w:r w:rsidR="0075671B" w:rsidRPr="0085787B">
        <w:t>The Executive Committee may accept or modify the recommendations and staff will update the loan loss reserve and risk ratings accordingly.</w:t>
      </w:r>
      <w:r w:rsidR="0075671B" w:rsidRPr="0085787B">
        <w:rPr>
          <w:u w:val="single"/>
        </w:rPr>
        <w:t xml:space="preserve"> </w:t>
      </w:r>
      <w:r w:rsidR="000C1AFB">
        <w:br w:type="page"/>
      </w:r>
    </w:p>
    <w:tbl>
      <w:tblPr>
        <w:tblStyle w:val="TableGrid"/>
        <w:tblW w:w="0" w:type="auto"/>
        <w:tblLook w:val="04A0" w:firstRow="1" w:lastRow="0" w:firstColumn="1" w:lastColumn="0" w:noHBand="0" w:noVBand="1"/>
      </w:tblPr>
      <w:tblGrid>
        <w:gridCol w:w="804"/>
        <w:gridCol w:w="1293"/>
        <w:gridCol w:w="6178"/>
        <w:gridCol w:w="1075"/>
      </w:tblGrid>
      <w:tr w:rsidR="000C1AFB" w14:paraId="1F8F4320" w14:textId="77777777" w:rsidTr="002D4F90">
        <w:trPr>
          <w:trHeight w:val="557"/>
        </w:trPr>
        <w:tc>
          <w:tcPr>
            <w:tcW w:w="9350" w:type="dxa"/>
            <w:gridSpan w:val="4"/>
            <w:shd w:val="clear" w:color="auto" w:fill="F2F2F2" w:themeFill="background1" w:themeFillShade="F2"/>
            <w:vAlign w:val="center"/>
          </w:tcPr>
          <w:p w14:paraId="00A39B73" w14:textId="77777777" w:rsidR="000C1AFB" w:rsidRPr="000C1AFB" w:rsidRDefault="000C1AFB" w:rsidP="0041409A">
            <w:pPr>
              <w:jc w:val="center"/>
              <w:rPr>
                <w:b/>
                <w:bCs/>
              </w:rPr>
            </w:pPr>
            <w:r w:rsidRPr="000C1AFB">
              <w:rPr>
                <w:b/>
                <w:bCs/>
              </w:rPr>
              <w:lastRenderedPageBreak/>
              <w:t>Table 1: Risk Rating and Loan Loss Reserve Guidance</w:t>
            </w:r>
          </w:p>
        </w:tc>
      </w:tr>
      <w:tr w:rsidR="000C1AFB" w14:paraId="7CF43246" w14:textId="77777777" w:rsidTr="0041409A">
        <w:tc>
          <w:tcPr>
            <w:tcW w:w="804" w:type="dxa"/>
            <w:vAlign w:val="center"/>
          </w:tcPr>
          <w:p w14:paraId="560EECE1" w14:textId="77777777" w:rsidR="000C1AFB" w:rsidRDefault="000C1AFB" w:rsidP="0041409A">
            <w:pPr>
              <w:jc w:val="center"/>
            </w:pPr>
            <w:r>
              <w:t>Risk</w:t>
            </w:r>
            <w:r>
              <w:br/>
              <w:t>Rating</w:t>
            </w:r>
          </w:p>
        </w:tc>
        <w:tc>
          <w:tcPr>
            <w:tcW w:w="1293" w:type="dxa"/>
            <w:vAlign w:val="center"/>
          </w:tcPr>
          <w:p w14:paraId="15A2594E" w14:textId="77777777" w:rsidR="000C1AFB" w:rsidRDefault="000C1AFB" w:rsidP="0041409A">
            <w:pPr>
              <w:jc w:val="center"/>
            </w:pPr>
            <w:r>
              <w:t>Category</w:t>
            </w:r>
          </w:p>
        </w:tc>
        <w:tc>
          <w:tcPr>
            <w:tcW w:w="6178" w:type="dxa"/>
            <w:vAlign w:val="center"/>
          </w:tcPr>
          <w:p w14:paraId="1048D42A" w14:textId="77777777" w:rsidR="000C1AFB" w:rsidRDefault="000C1AFB" w:rsidP="0041409A">
            <w:pPr>
              <w:jc w:val="center"/>
            </w:pPr>
            <w:r>
              <w:t>Conditions</w:t>
            </w:r>
          </w:p>
        </w:tc>
        <w:tc>
          <w:tcPr>
            <w:tcW w:w="1075" w:type="dxa"/>
            <w:vAlign w:val="center"/>
          </w:tcPr>
          <w:p w14:paraId="55000608" w14:textId="77777777" w:rsidR="000C1AFB" w:rsidRDefault="000C1AFB" w:rsidP="0041409A">
            <w:pPr>
              <w:jc w:val="center"/>
            </w:pPr>
            <w:r>
              <w:t>Loan Loss Reserve</w:t>
            </w:r>
          </w:p>
        </w:tc>
      </w:tr>
      <w:tr w:rsidR="000C1AFB" w14:paraId="035B4890" w14:textId="77777777" w:rsidTr="0041409A">
        <w:tc>
          <w:tcPr>
            <w:tcW w:w="804" w:type="dxa"/>
            <w:vAlign w:val="center"/>
          </w:tcPr>
          <w:p w14:paraId="3F39B1AC" w14:textId="77777777" w:rsidR="000C1AFB" w:rsidRDefault="000C1AFB" w:rsidP="0041409A">
            <w:pPr>
              <w:jc w:val="center"/>
            </w:pPr>
            <w:r>
              <w:t>1</w:t>
            </w:r>
          </w:p>
        </w:tc>
        <w:tc>
          <w:tcPr>
            <w:tcW w:w="1293" w:type="dxa"/>
            <w:vAlign w:val="center"/>
          </w:tcPr>
          <w:p w14:paraId="2361F245" w14:textId="1856C783" w:rsidR="000C1AFB" w:rsidRDefault="00316B47" w:rsidP="0041409A">
            <w:pPr>
              <w:jc w:val="center"/>
            </w:pPr>
            <w:r>
              <w:t>Very Good</w:t>
            </w:r>
          </w:p>
        </w:tc>
        <w:tc>
          <w:tcPr>
            <w:tcW w:w="6178" w:type="dxa"/>
          </w:tcPr>
          <w:p w14:paraId="7F981249" w14:textId="77777777" w:rsidR="000C1AFB" w:rsidRPr="00FC2876" w:rsidRDefault="000C1AFB" w:rsidP="0041409A">
            <w:pPr>
              <w:pStyle w:val="ListParagraph"/>
              <w:tabs>
                <w:tab w:val="left" w:pos="0"/>
              </w:tabs>
              <w:ind w:left="0" w:hanging="18"/>
            </w:pPr>
            <w:r w:rsidRPr="00FC2876">
              <w:t>This rating applies if there is no information indicating issues with repayment and:</w:t>
            </w:r>
          </w:p>
          <w:p w14:paraId="080276D4" w14:textId="77777777" w:rsidR="000C1AFB" w:rsidRPr="00FC2876" w:rsidRDefault="000C1AFB" w:rsidP="002D4F90">
            <w:pPr>
              <w:pStyle w:val="ListParagraph"/>
              <w:widowControl w:val="0"/>
              <w:numPr>
                <w:ilvl w:val="0"/>
                <w:numId w:val="4"/>
              </w:numPr>
              <w:tabs>
                <w:tab w:val="left" w:pos="-18"/>
              </w:tabs>
              <w:overflowPunct w:val="0"/>
              <w:autoSpaceDE w:val="0"/>
              <w:autoSpaceDN w:val="0"/>
              <w:adjustRightInd w:val="0"/>
              <w:spacing w:line="225" w:lineRule="auto"/>
              <w:ind w:left="406" w:hanging="406"/>
            </w:pPr>
            <w:r w:rsidRPr="00FC2876">
              <w:t xml:space="preserve">New Loans – The loan meets or exceeds all underwriting criteria.  </w:t>
            </w:r>
          </w:p>
          <w:p w14:paraId="619563AD" w14:textId="77777777" w:rsidR="000C1AFB" w:rsidRPr="00FC2876" w:rsidRDefault="000C1AFB" w:rsidP="002D4F90">
            <w:pPr>
              <w:pStyle w:val="ListParagraph"/>
              <w:widowControl w:val="0"/>
              <w:numPr>
                <w:ilvl w:val="0"/>
                <w:numId w:val="4"/>
              </w:numPr>
              <w:tabs>
                <w:tab w:val="left" w:pos="-18"/>
              </w:tabs>
              <w:overflowPunct w:val="0"/>
              <w:autoSpaceDE w:val="0"/>
              <w:autoSpaceDN w:val="0"/>
              <w:adjustRightInd w:val="0"/>
              <w:spacing w:line="225" w:lineRule="auto"/>
              <w:ind w:left="406" w:hanging="406"/>
            </w:pPr>
            <w:r w:rsidRPr="00FC2876">
              <w:t xml:space="preserve">Existing Loans – Borrower has not missed any payments </w:t>
            </w:r>
          </w:p>
        </w:tc>
        <w:tc>
          <w:tcPr>
            <w:tcW w:w="1075" w:type="dxa"/>
            <w:vAlign w:val="center"/>
          </w:tcPr>
          <w:p w14:paraId="3B1DDAAF" w14:textId="77777777" w:rsidR="000C1AFB" w:rsidRDefault="000C1AFB" w:rsidP="0041409A">
            <w:pPr>
              <w:jc w:val="center"/>
            </w:pPr>
            <w:r>
              <w:t>1%</w:t>
            </w:r>
          </w:p>
        </w:tc>
      </w:tr>
      <w:tr w:rsidR="000C1AFB" w14:paraId="38B43DB5" w14:textId="77777777" w:rsidTr="0041409A">
        <w:tc>
          <w:tcPr>
            <w:tcW w:w="804" w:type="dxa"/>
            <w:vAlign w:val="center"/>
          </w:tcPr>
          <w:p w14:paraId="5FFB7FBF" w14:textId="77777777" w:rsidR="000C1AFB" w:rsidRDefault="000C1AFB" w:rsidP="0041409A">
            <w:pPr>
              <w:jc w:val="center"/>
            </w:pPr>
            <w:r>
              <w:t>2</w:t>
            </w:r>
          </w:p>
        </w:tc>
        <w:tc>
          <w:tcPr>
            <w:tcW w:w="1293" w:type="dxa"/>
            <w:vAlign w:val="center"/>
          </w:tcPr>
          <w:p w14:paraId="4E60AE82" w14:textId="77777777" w:rsidR="000C1AFB" w:rsidRDefault="000C1AFB" w:rsidP="0041409A">
            <w:pPr>
              <w:jc w:val="center"/>
            </w:pPr>
            <w:r>
              <w:t>Good</w:t>
            </w:r>
          </w:p>
        </w:tc>
        <w:tc>
          <w:tcPr>
            <w:tcW w:w="6178" w:type="dxa"/>
          </w:tcPr>
          <w:p w14:paraId="6E138F2F" w14:textId="77777777" w:rsidR="000C1AFB" w:rsidRPr="00FC2876" w:rsidRDefault="000C1AFB" w:rsidP="0041409A">
            <w:pPr>
              <w:pStyle w:val="ListParagraph"/>
              <w:tabs>
                <w:tab w:val="left" w:pos="0"/>
              </w:tabs>
              <w:ind w:left="0" w:hanging="18"/>
            </w:pPr>
            <w:r w:rsidRPr="00FC2876">
              <w:t>This rating applies if there is no information indicating issues with repayment and:</w:t>
            </w:r>
          </w:p>
          <w:p w14:paraId="7F68F5BB" w14:textId="208362A3" w:rsidR="000C1AFB" w:rsidRPr="00FC2876" w:rsidRDefault="000C1AFB" w:rsidP="0041409A">
            <w:pPr>
              <w:pStyle w:val="ListParagraph"/>
              <w:widowControl w:val="0"/>
              <w:numPr>
                <w:ilvl w:val="0"/>
                <w:numId w:val="5"/>
              </w:numPr>
              <w:tabs>
                <w:tab w:val="left" w:pos="0"/>
              </w:tabs>
              <w:overflowPunct w:val="0"/>
              <w:autoSpaceDE w:val="0"/>
              <w:autoSpaceDN w:val="0"/>
              <w:adjustRightInd w:val="0"/>
              <w:spacing w:line="225" w:lineRule="auto"/>
            </w:pPr>
            <w:r w:rsidRPr="00FC2876">
              <w:t xml:space="preserve">New Loans – The loan meets most underwriting criteria, but exceptions were </w:t>
            </w:r>
            <w:r w:rsidR="00A95932" w:rsidRPr="00FC2876">
              <w:t>granted,</w:t>
            </w:r>
            <w:r w:rsidR="00A50A46">
              <w:t xml:space="preserve"> or conditions were imposed.</w:t>
            </w:r>
          </w:p>
          <w:p w14:paraId="78A80A48" w14:textId="77777777" w:rsidR="000C1AFB" w:rsidRPr="00FC2876" w:rsidRDefault="000C1AFB" w:rsidP="0041409A">
            <w:pPr>
              <w:pStyle w:val="ListParagraph"/>
              <w:widowControl w:val="0"/>
              <w:numPr>
                <w:ilvl w:val="0"/>
                <w:numId w:val="5"/>
              </w:numPr>
              <w:tabs>
                <w:tab w:val="left" w:pos="0"/>
              </w:tabs>
              <w:overflowPunct w:val="0"/>
              <w:autoSpaceDE w:val="0"/>
              <w:autoSpaceDN w:val="0"/>
              <w:adjustRightInd w:val="0"/>
              <w:spacing w:line="225" w:lineRule="auto"/>
            </w:pPr>
            <w:r w:rsidRPr="00FC2876">
              <w:t>Existing Loans – The borrower has made one or two late payments of 30 days or more in a 12-month period.</w:t>
            </w:r>
          </w:p>
        </w:tc>
        <w:tc>
          <w:tcPr>
            <w:tcW w:w="1075" w:type="dxa"/>
            <w:vAlign w:val="center"/>
          </w:tcPr>
          <w:p w14:paraId="619F5607" w14:textId="77777777" w:rsidR="000C1AFB" w:rsidRDefault="000C1AFB" w:rsidP="0041409A">
            <w:pPr>
              <w:jc w:val="center"/>
            </w:pPr>
            <w:r>
              <w:t>2-4%</w:t>
            </w:r>
          </w:p>
        </w:tc>
      </w:tr>
      <w:tr w:rsidR="000C1AFB" w14:paraId="5AB58B41" w14:textId="77777777" w:rsidTr="0041409A">
        <w:tc>
          <w:tcPr>
            <w:tcW w:w="804" w:type="dxa"/>
            <w:vAlign w:val="center"/>
          </w:tcPr>
          <w:p w14:paraId="75B0298F" w14:textId="77777777" w:rsidR="000C1AFB" w:rsidRDefault="000C1AFB" w:rsidP="0041409A">
            <w:pPr>
              <w:jc w:val="center"/>
            </w:pPr>
            <w:r>
              <w:t>3</w:t>
            </w:r>
          </w:p>
        </w:tc>
        <w:tc>
          <w:tcPr>
            <w:tcW w:w="1293" w:type="dxa"/>
            <w:vAlign w:val="center"/>
          </w:tcPr>
          <w:p w14:paraId="023746DE" w14:textId="77777777" w:rsidR="000C1AFB" w:rsidRDefault="000C1AFB" w:rsidP="0041409A">
            <w:pPr>
              <w:jc w:val="center"/>
            </w:pPr>
            <w:r>
              <w:t>Impaired</w:t>
            </w:r>
          </w:p>
        </w:tc>
        <w:tc>
          <w:tcPr>
            <w:tcW w:w="6178" w:type="dxa"/>
          </w:tcPr>
          <w:p w14:paraId="1DA66620" w14:textId="77777777" w:rsidR="000C1AFB" w:rsidRPr="00FC2876" w:rsidRDefault="000C1AFB" w:rsidP="0041409A">
            <w:pPr>
              <w:tabs>
                <w:tab w:val="left" w:pos="-18"/>
              </w:tabs>
              <w:ind w:left="-1"/>
            </w:pPr>
            <w:r w:rsidRPr="00FC2876">
              <w:t xml:space="preserve">This rating applies if the borrower is responsive to requests for information and corrects or has a credible plan to correct the following: </w:t>
            </w:r>
          </w:p>
          <w:p w14:paraId="13A8AB4D" w14:textId="77777777" w:rsidR="000C1AFB" w:rsidRPr="00FC2876" w:rsidRDefault="000C1AFB" w:rsidP="002D4F90">
            <w:pPr>
              <w:pStyle w:val="ListParagraph"/>
              <w:widowControl w:val="0"/>
              <w:numPr>
                <w:ilvl w:val="0"/>
                <w:numId w:val="6"/>
              </w:numPr>
              <w:tabs>
                <w:tab w:val="left" w:pos="2484"/>
                <w:tab w:val="left" w:pos="2767"/>
              </w:tabs>
              <w:overflowPunct w:val="0"/>
              <w:autoSpaceDE w:val="0"/>
              <w:autoSpaceDN w:val="0"/>
              <w:adjustRightInd w:val="0"/>
              <w:spacing w:line="225" w:lineRule="auto"/>
              <w:ind w:left="406" w:hanging="407"/>
            </w:pPr>
            <w:r w:rsidRPr="00FC2876">
              <w:t xml:space="preserve">Information received indicating issues with repayment. </w:t>
            </w:r>
          </w:p>
          <w:p w14:paraId="48C07300" w14:textId="77777777" w:rsidR="000C1AFB" w:rsidRPr="00FC2876" w:rsidRDefault="000C1AFB" w:rsidP="002D4F90">
            <w:pPr>
              <w:pStyle w:val="ListParagraph"/>
              <w:widowControl w:val="0"/>
              <w:numPr>
                <w:ilvl w:val="0"/>
                <w:numId w:val="6"/>
              </w:numPr>
              <w:tabs>
                <w:tab w:val="left" w:pos="2484"/>
                <w:tab w:val="left" w:pos="2767"/>
              </w:tabs>
              <w:overflowPunct w:val="0"/>
              <w:autoSpaceDE w:val="0"/>
              <w:autoSpaceDN w:val="0"/>
              <w:adjustRightInd w:val="0"/>
              <w:spacing w:line="225" w:lineRule="auto"/>
              <w:ind w:left="406" w:hanging="407"/>
            </w:pPr>
            <w:r w:rsidRPr="00FC2876">
              <w:t xml:space="preserve">Pattern of late payments indicated by three late payments of 30 days or more in a 12-month period. </w:t>
            </w:r>
          </w:p>
        </w:tc>
        <w:tc>
          <w:tcPr>
            <w:tcW w:w="1075" w:type="dxa"/>
            <w:vAlign w:val="center"/>
          </w:tcPr>
          <w:p w14:paraId="1A08B286" w14:textId="77777777" w:rsidR="000C1AFB" w:rsidRDefault="000C1AFB" w:rsidP="0041409A">
            <w:pPr>
              <w:jc w:val="center"/>
            </w:pPr>
            <w:r>
              <w:t>5-30%</w:t>
            </w:r>
          </w:p>
        </w:tc>
      </w:tr>
      <w:tr w:rsidR="000C1AFB" w14:paraId="73145A2C" w14:textId="77777777" w:rsidTr="0041409A">
        <w:tc>
          <w:tcPr>
            <w:tcW w:w="804" w:type="dxa"/>
            <w:vAlign w:val="center"/>
          </w:tcPr>
          <w:p w14:paraId="01AC2EE2" w14:textId="77777777" w:rsidR="000C1AFB" w:rsidRDefault="000C1AFB" w:rsidP="0041409A">
            <w:pPr>
              <w:jc w:val="center"/>
            </w:pPr>
            <w:r>
              <w:t>4</w:t>
            </w:r>
          </w:p>
        </w:tc>
        <w:tc>
          <w:tcPr>
            <w:tcW w:w="1293" w:type="dxa"/>
            <w:vAlign w:val="center"/>
          </w:tcPr>
          <w:p w14:paraId="458F47A7" w14:textId="77777777" w:rsidR="000C1AFB" w:rsidRDefault="000C1AFB" w:rsidP="0041409A">
            <w:pPr>
              <w:jc w:val="center"/>
            </w:pPr>
            <w:r>
              <w:t xml:space="preserve">Significantly </w:t>
            </w:r>
            <w:r>
              <w:br/>
              <w:t>Impaired</w:t>
            </w:r>
          </w:p>
        </w:tc>
        <w:tc>
          <w:tcPr>
            <w:tcW w:w="6178" w:type="dxa"/>
          </w:tcPr>
          <w:p w14:paraId="24BCAA50" w14:textId="77777777" w:rsidR="000C1AFB" w:rsidRPr="00FC2876" w:rsidRDefault="000C1AFB" w:rsidP="0041409A">
            <w:pPr>
              <w:tabs>
                <w:tab w:val="left" w:pos="-18"/>
              </w:tabs>
              <w:ind w:left="-1"/>
            </w:pPr>
            <w:r w:rsidRPr="00FC2876">
              <w:t xml:space="preserve">This risk rating applies if the borrower is unresponsive to requests for information and/or does not provide or follow-through on a credible plan to correct the following: </w:t>
            </w:r>
          </w:p>
          <w:p w14:paraId="74DE84F8" w14:textId="77777777" w:rsidR="000C1AFB" w:rsidRPr="00FC2876" w:rsidRDefault="000C1AFB" w:rsidP="002D4F90">
            <w:pPr>
              <w:pStyle w:val="ListParagraph"/>
              <w:widowControl w:val="0"/>
              <w:numPr>
                <w:ilvl w:val="0"/>
                <w:numId w:val="6"/>
              </w:numPr>
              <w:tabs>
                <w:tab w:val="left" w:pos="2484"/>
                <w:tab w:val="left" w:pos="2767"/>
              </w:tabs>
              <w:overflowPunct w:val="0"/>
              <w:autoSpaceDE w:val="0"/>
              <w:autoSpaceDN w:val="0"/>
              <w:adjustRightInd w:val="0"/>
              <w:spacing w:line="225" w:lineRule="auto"/>
              <w:ind w:left="406" w:hanging="407"/>
            </w:pPr>
            <w:r w:rsidRPr="00FC2876">
              <w:t xml:space="preserve">Information received indicating significant problems which will likely impair repayment or successful business operations. </w:t>
            </w:r>
          </w:p>
          <w:p w14:paraId="17A009FE" w14:textId="77777777" w:rsidR="000C1AFB" w:rsidRPr="00FC2876" w:rsidRDefault="000C1AFB" w:rsidP="002D4F90">
            <w:pPr>
              <w:pStyle w:val="ListParagraph"/>
              <w:widowControl w:val="0"/>
              <w:numPr>
                <w:ilvl w:val="0"/>
                <w:numId w:val="6"/>
              </w:numPr>
              <w:tabs>
                <w:tab w:val="left" w:pos="2484"/>
                <w:tab w:val="left" w:pos="2767"/>
              </w:tabs>
              <w:overflowPunct w:val="0"/>
              <w:autoSpaceDE w:val="0"/>
              <w:autoSpaceDN w:val="0"/>
              <w:adjustRightInd w:val="0"/>
              <w:spacing w:line="225" w:lineRule="auto"/>
              <w:ind w:left="406" w:hanging="407"/>
            </w:pPr>
            <w:r w:rsidRPr="00FC2876">
              <w:t>Consistent late payments of 30 days or more in a 12-month period.</w:t>
            </w:r>
          </w:p>
        </w:tc>
        <w:tc>
          <w:tcPr>
            <w:tcW w:w="1075" w:type="dxa"/>
            <w:vAlign w:val="center"/>
          </w:tcPr>
          <w:p w14:paraId="71AC1E53" w14:textId="77777777" w:rsidR="000C1AFB" w:rsidRDefault="000C1AFB" w:rsidP="0041409A">
            <w:pPr>
              <w:jc w:val="center"/>
            </w:pPr>
            <w:r>
              <w:t>31-50%</w:t>
            </w:r>
          </w:p>
        </w:tc>
      </w:tr>
      <w:tr w:rsidR="000C1AFB" w14:paraId="3C09A0BB" w14:textId="77777777" w:rsidTr="0041409A">
        <w:tc>
          <w:tcPr>
            <w:tcW w:w="804" w:type="dxa"/>
            <w:vAlign w:val="center"/>
          </w:tcPr>
          <w:p w14:paraId="6ED44C48" w14:textId="77777777" w:rsidR="000C1AFB" w:rsidRDefault="000C1AFB" w:rsidP="0041409A">
            <w:pPr>
              <w:jc w:val="center"/>
            </w:pPr>
            <w:r>
              <w:t>5</w:t>
            </w:r>
          </w:p>
        </w:tc>
        <w:tc>
          <w:tcPr>
            <w:tcW w:w="1293" w:type="dxa"/>
            <w:vAlign w:val="center"/>
          </w:tcPr>
          <w:p w14:paraId="617F6190" w14:textId="77777777" w:rsidR="000C1AFB" w:rsidRDefault="000C1AFB" w:rsidP="0041409A">
            <w:pPr>
              <w:jc w:val="center"/>
            </w:pPr>
            <w:r>
              <w:t xml:space="preserve">Seriously </w:t>
            </w:r>
            <w:r>
              <w:br/>
              <w:t>Impaired</w:t>
            </w:r>
          </w:p>
        </w:tc>
        <w:tc>
          <w:tcPr>
            <w:tcW w:w="6178" w:type="dxa"/>
          </w:tcPr>
          <w:p w14:paraId="6ECEB171" w14:textId="77777777" w:rsidR="000C1AFB" w:rsidRPr="00FC2876" w:rsidRDefault="000C1AFB" w:rsidP="0041409A">
            <w:pPr>
              <w:tabs>
                <w:tab w:val="left" w:pos="-18"/>
              </w:tabs>
              <w:ind w:left="-1"/>
            </w:pPr>
            <w:r w:rsidRPr="00FC2876">
              <w:t xml:space="preserve">This risk rating applies if the borrower is unresponsive to requests for information and/or does not provide or follow-through on a credible plan to correct the following: </w:t>
            </w:r>
          </w:p>
          <w:p w14:paraId="0A7A3DFB" w14:textId="77777777" w:rsidR="000C1AFB" w:rsidRPr="00FC2876" w:rsidRDefault="000C1AFB" w:rsidP="002D4F90">
            <w:pPr>
              <w:pStyle w:val="ListParagraph"/>
              <w:widowControl w:val="0"/>
              <w:numPr>
                <w:ilvl w:val="0"/>
                <w:numId w:val="6"/>
              </w:numPr>
              <w:tabs>
                <w:tab w:val="left" w:pos="2484"/>
                <w:tab w:val="left" w:pos="2767"/>
              </w:tabs>
              <w:overflowPunct w:val="0"/>
              <w:autoSpaceDE w:val="0"/>
              <w:autoSpaceDN w:val="0"/>
              <w:adjustRightInd w:val="0"/>
              <w:spacing w:line="225" w:lineRule="auto"/>
              <w:ind w:left="406" w:hanging="407"/>
            </w:pPr>
            <w:r w:rsidRPr="00FC2876">
              <w:t>Loan not repaid in full on due date with no assurance of when it will be paid.</w:t>
            </w:r>
          </w:p>
          <w:p w14:paraId="70221C22" w14:textId="12E570B8" w:rsidR="002D4F90" w:rsidRPr="00FC2876" w:rsidRDefault="000C1AFB" w:rsidP="00A50A46">
            <w:pPr>
              <w:pStyle w:val="ListParagraph"/>
              <w:widowControl w:val="0"/>
              <w:numPr>
                <w:ilvl w:val="0"/>
                <w:numId w:val="6"/>
              </w:numPr>
              <w:tabs>
                <w:tab w:val="left" w:pos="2484"/>
                <w:tab w:val="left" w:pos="2767"/>
              </w:tabs>
              <w:overflowPunct w:val="0"/>
              <w:autoSpaceDE w:val="0"/>
              <w:autoSpaceDN w:val="0"/>
              <w:adjustRightInd w:val="0"/>
              <w:spacing w:line="225" w:lineRule="auto"/>
              <w:ind w:left="406" w:hanging="407"/>
            </w:pPr>
            <w:r w:rsidRPr="00FC2876">
              <w:t>Business has serious financial or other problems that make it likely or certain that NCNMEDD will not be repaid.</w:t>
            </w:r>
          </w:p>
        </w:tc>
        <w:tc>
          <w:tcPr>
            <w:tcW w:w="1075" w:type="dxa"/>
            <w:vAlign w:val="center"/>
          </w:tcPr>
          <w:p w14:paraId="679E3950" w14:textId="77777777" w:rsidR="000C1AFB" w:rsidRDefault="000C1AFB" w:rsidP="0041409A">
            <w:pPr>
              <w:jc w:val="center"/>
            </w:pPr>
            <w:r>
              <w:t>51-100%</w:t>
            </w:r>
          </w:p>
        </w:tc>
      </w:tr>
    </w:tbl>
    <w:p w14:paraId="03CAC530" w14:textId="77777777" w:rsidR="000C1AFB" w:rsidRDefault="000C1AFB" w:rsidP="00583798">
      <w:pPr>
        <w:pStyle w:val="Heading2"/>
      </w:pPr>
    </w:p>
    <w:p w14:paraId="1AB59CE1" w14:textId="25FA0627" w:rsidR="00583798" w:rsidRDefault="00583798" w:rsidP="00583798">
      <w:pPr>
        <w:pStyle w:val="Heading2"/>
      </w:pPr>
      <w:bookmarkStart w:id="18" w:name="_Toc74578192"/>
      <w:r>
        <w:t xml:space="preserve">5.6 </w:t>
      </w:r>
      <w:r w:rsidR="004636B3">
        <w:t>Loan Servicing and Collections</w:t>
      </w:r>
      <w:bookmarkEnd w:id="18"/>
    </w:p>
    <w:p w14:paraId="72A730EF" w14:textId="03C1C1C2" w:rsidR="004636B3" w:rsidRDefault="004636B3" w:rsidP="00583798">
      <w:r>
        <w:t>Participation Loans:</w:t>
      </w:r>
    </w:p>
    <w:p w14:paraId="21A0846C" w14:textId="356EBCF6" w:rsidR="004D111B" w:rsidRDefault="00325968" w:rsidP="00583798">
      <w:r>
        <w:t>For</w:t>
      </w:r>
      <w:r w:rsidR="009A1AD7" w:rsidRPr="009A1AD7">
        <w:t xml:space="preserve"> participat</w:t>
      </w:r>
      <w:r>
        <w:t>ion</w:t>
      </w:r>
      <w:r w:rsidR="009A1AD7" w:rsidRPr="009A1AD7">
        <w:t xml:space="preserve"> loans, </w:t>
      </w:r>
      <w:r w:rsidR="000C1AFB">
        <w:t>the</w:t>
      </w:r>
      <w:r w:rsidR="009A1AD7" w:rsidRPr="009A1AD7">
        <w:t xml:space="preserve"> lead bank will receive all payments and remit to NCNMEDD its share of interest and principal as negotiated in the participation agreement.  </w:t>
      </w:r>
      <w:r w:rsidR="009A1AD7">
        <w:t xml:space="preserve">Staff will </w:t>
      </w:r>
      <w:r w:rsidR="009A1AD7" w:rsidRPr="009A1AD7">
        <w:t>receive and post payments</w:t>
      </w:r>
      <w:r w:rsidR="009A1AD7">
        <w:t xml:space="preserve">.  </w:t>
      </w:r>
      <w:r w:rsidR="009A1AD7" w:rsidRPr="009A1AD7">
        <w:t xml:space="preserve">No NCNMEDD receipt is provided to the borrower.  </w:t>
      </w:r>
      <w:r w:rsidR="00310E97">
        <w:t xml:space="preserve">The loan payment schedule will be kept up to date with payments posted as principal and interest.  </w:t>
      </w:r>
    </w:p>
    <w:p w14:paraId="4AA10151" w14:textId="23B6E4C7" w:rsidR="009A1AD7" w:rsidRDefault="009A1AD7" w:rsidP="00583798">
      <w:r>
        <w:lastRenderedPageBreak/>
        <w:t xml:space="preserve">Staff will monitor monthly loan reports for defaults in </w:t>
      </w:r>
      <w:r w:rsidRPr="00B66139">
        <w:t>covenants</w:t>
      </w:r>
      <w:r>
        <w:t xml:space="preserve"> and loan payments.  </w:t>
      </w:r>
      <w:r w:rsidR="002D573B">
        <w:t>Staff</w:t>
      </w:r>
      <w:r>
        <w:t xml:space="preserve"> will also monitor UCC filings, financial statements, insurance updates, and other compliance requirements if needed.  Delinquencies in payments will be discussed with the participating bank.  </w:t>
      </w:r>
    </w:p>
    <w:p w14:paraId="244AA9D5" w14:textId="79ABAA59" w:rsidR="004D111B" w:rsidRDefault="00310E97" w:rsidP="004D111B">
      <w:r>
        <w:t>R</w:t>
      </w:r>
      <w:r w:rsidR="004D111B">
        <w:t xml:space="preserve">esponsibility for late payment follow-up will be </w:t>
      </w:r>
      <w:r>
        <w:t xml:space="preserve">with </w:t>
      </w:r>
      <w:r w:rsidR="004D111B">
        <w:t>the participating bank. In the case of chronic late payments or extended delinquency, NCNMEDD will arrange a meeting with the participating bank loan officer to review loan terms and seek to effect remedies that will eliminate late payment issues.</w:t>
      </w:r>
      <w:r>
        <w:t xml:space="preserve"> Staff will report late accounts monthly to the Board, with a report on the progress toward collection under the available remedies.  </w:t>
      </w:r>
    </w:p>
    <w:p w14:paraId="290B4C83" w14:textId="77777777" w:rsidR="00310E97" w:rsidRDefault="004D111B" w:rsidP="00310E97">
      <w:r>
        <w:t xml:space="preserve">If an account is declared delinquent, NCNMEDD will examine the program objectives of the RLF, the performance of the loan, the financial position of the borrower, the impact on the community, and the condition of the collateral and seek to work with the participating bank to modify or restructure the loan, to provide additional technical assistance to the borrower or to seek immediate collection through the normal foreclosure process as prescribed by New Mexico State law. </w:t>
      </w:r>
      <w:r w:rsidR="00310E97">
        <w:t>NCNMEDD may engage legal assistance in pursuing foreclosure or other legal remedies against delinquent loans.</w:t>
      </w:r>
    </w:p>
    <w:p w14:paraId="4555FD4C" w14:textId="2953869B" w:rsidR="009A1AD7" w:rsidRDefault="009A1AD7" w:rsidP="009A1AD7">
      <w:r w:rsidRPr="009A1AD7">
        <w:t xml:space="preserve">After 180 days of continuous delinquency, if </w:t>
      </w:r>
      <w:r w:rsidR="004D111B">
        <w:t xml:space="preserve">the Executive Committee </w:t>
      </w:r>
      <w:r w:rsidRPr="009A1AD7">
        <w:t xml:space="preserve">determines that all reasonable restructuring or collection avenues have been exhausted, the </w:t>
      </w:r>
      <w:r w:rsidR="004D111B">
        <w:t xml:space="preserve">Executive Committee may </w:t>
      </w:r>
      <w:r w:rsidRPr="009A1AD7">
        <w:t xml:space="preserve">authorize the loan to be written off.  </w:t>
      </w:r>
    </w:p>
    <w:p w14:paraId="045FBDA8" w14:textId="691FC11D" w:rsidR="004636B3" w:rsidRDefault="004636B3" w:rsidP="009A1AD7">
      <w:r>
        <w:t>Direct Loans:</w:t>
      </w:r>
    </w:p>
    <w:p w14:paraId="748980AC" w14:textId="4B9082F5" w:rsidR="00EA5C6B" w:rsidRDefault="004636B3" w:rsidP="00EA5C6B">
      <w:r>
        <w:t xml:space="preserve">For direct loans, NCNMEDD will collect payments through either a check or electronically through an ACH withdrawal and provide the borrower with receipts of all payments.  </w:t>
      </w:r>
      <w:r w:rsidR="00EA5C6B">
        <w:t xml:space="preserve">The loan payment schedule will be kept up to date with payments posted as principal and interest.  </w:t>
      </w:r>
    </w:p>
    <w:p w14:paraId="3E08C170" w14:textId="77777777" w:rsidR="00EA5C6B" w:rsidRDefault="00EA5C6B" w:rsidP="00EA5C6B">
      <w:r>
        <w:t xml:space="preserve">Staff will develop monthly loan reports and monitor for defaults in </w:t>
      </w:r>
      <w:r w:rsidRPr="00B66139">
        <w:t>covenants</w:t>
      </w:r>
      <w:r>
        <w:t xml:space="preserve"> and loan payments.  Staff will also monitor UCC filings, financial statements, insurance updates, and other compliance requirements if needed.  Staff will report late accounts monthly to the Board, with a report on the progress toward collection under the available remedies.  </w:t>
      </w:r>
    </w:p>
    <w:p w14:paraId="2121E255" w14:textId="1950897C" w:rsidR="00EA5C6B" w:rsidRDefault="00EA5C6B" w:rsidP="00EA5C6B">
      <w:r>
        <w:t>Late and delinquent payments will be addressed through the actions described in Table 2: Collections Guidance. If an account is declared delinquent, NCNMEDD will examine this policy, the performance of the loan, the financial position of the borrower, the impact on the community, and the condition of the collateral and seek to work with the borrower to modify or restructure the loan, to provide additional technical assistance or to seek immediate collection through the normal foreclosure process as prescribed by New Mexico State law. NCNMEDD may engage legal assistance in pursuing foreclosure or other legal remedies against delinquent loans.</w:t>
      </w:r>
    </w:p>
    <w:p w14:paraId="06A291CE" w14:textId="2BF4A7A7" w:rsidR="00EA5C6B" w:rsidRDefault="00EA5C6B" w:rsidP="00EA5C6B"/>
    <w:p w14:paraId="01FCC72D" w14:textId="77777777" w:rsidR="00EA5C6B" w:rsidRDefault="00EA5C6B" w:rsidP="00EA5C6B"/>
    <w:p w14:paraId="17C8A82B" w14:textId="23F48EDA" w:rsidR="004636B3" w:rsidRDefault="00EA5C6B" w:rsidP="004636B3">
      <w:r>
        <w:br w:type="page"/>
      </w:r>
    </w:p>
    <w:tbl>
      <w:tblPr>
        <w:tblStyle w:val="TableGrid"/>
        <w:tblW w:w="9535" w:type="dxa"/>
        <w:tblLook w:val="04A0" w:firstRow="1" w:lastRow="0" w:firstColumn="1" w:lastColumn="0" w:noHBand="0" w:noVBand="1"/>
      </w:tblPr>
      <w:tblGrid>
        <w:gridCol w:w="1075"/>
        <w:gridCol w:w="6441"/>
        <w:gridCol w:w="785"/>
        <w:gridCol w:w="1234"/>
      </w:tblGrid>
      <w:tr w:rsidR="00455DC0" w14:paraId="0241496E" w14:textId="77777777" w:rsidTr="00EA5C6B">
        <w:trPr>
          <w:trHeight w:val="557"/>
        </w:trPr>
        <w:tc>
          <w:tcPr>
            <w:tcW w:w="9535" w:type="dxa"/>
            <w:gridSpan w:val="4"/>
            <w:shd w:val="clear" w:color="auto" w:fill="F2F2F2" w:themeFill="background1" w:themeFillShade="F2"/>
          </w:tcPr>
          <w:p w14:paraId="05F0CEFC" w14:textId="77777777" w:rsidR="00455DC0" w:rsidRPr="00455DC0" w:rsidRDefault="00455DC0" w:rsidP="0041409A">
            <w:pPr>
              <w:jc w:val="center"/>
              <w:rPr>
                <w:b/>
                <w:bCs/>
              </w:rPr>
            </w:pPr>
            <w:r>
              <w:lastRenderedPageBreak/>
              <w:br/>
            </w:r>
            <w:r w:rsidRPr="00455DC0">
              <w:rPr>
                <w:b/>
                <w:bCs/>
              </w:rPr>
              <w:t>Table 2: Collections Guidance</w:t>
            </w:r>
            <w:r w:rsidRPr="00455DC0">
              <w:rPr>
                <w:b/>
                <w:bCs/>
              </w:rPr>
              <w:br/>
            </w:r>
          </w:p>
        </w:tc>
      </w:tr>
      <w:tr w:rsidR="00455DC0" w14:paraId="582A9934" w14:textId="77777777" w:rsidTr="00967CCF">
        <w:trPr>
          <w:trHeight w:val="710"/>
        </w:trPr>
        <w:tc>
          <w:tcPr>
            <w:tcW w:w="1075" w:type="dxa"/>
            <w:vAlign w:val="center"/>
          </w:tcPr>
          <w:p w14:paraId="393D99D6" w14:textId="50FB7E3E" w:rsidR="00455DC0" w:rsidRDefault="00AB7EE6" w:rsidP="0041409A">
            <w:pPr>
              <w:jc w:val="center"/>
            </w:pPr>
            <w:r>
              <w:t>Days Past Due</w:t>
            </w:r>
          </w:p>
        </w:tc>
        <w:tc>
          <w:tcPr>
            <w:tcW w:w="6441" w:type="dxa"/>
            <w:vAlign w:val="center"/>
          </w:tcPr>
          <w:p w14:paraId="0B4379FE" w14:textId="2083D19A" w:rsidR="00455DC0" w:rsidRDefault="00EA5C6B" w:rsidP="0041409A">
            <w:pPr>
              <w:jc w:val="center"/>
            </w:pPr>
            <w:r>
              <w:t>Actions</w:t>
            </w:r>
          </w:p>
        </w:tc>
        <w:tc>
          <w:tcPr>
            <w:tcW w:w="785" w:type="dxa"/>
          </w:tcPr>
          <w:p w14:paraId="36ABB12F" w14:textId="77777777" w:rsidR="00455DC0" w:rsidRDefault="00455DC0" w:rsidP="0041409A">
            <w:pPr>
              <w:jc w:val="center"/>
            </w:pPr>
            <w:r>
              <w:t>Risk</w:t>
            </w:r>
          </w:p>
          <w:p w14:paraId="090232E0" w14:textId="4E13B0B6" w:rsidR="00455DC0" w:rsidRDefault="00455DC0" w:rsidP="00EA5C6B">
            <w:pPr>
              <w:jc w:val="center"/>
            </w:pPr>
            <w:r>
              <w:t>Rating</w:t>
            </w:r>
          </w:p>
        </w:tc>
        <w:tc>
          <w:tcPr>
            <w:tcW w:w="1234" w:type="dxa"/>
            <w:vAlign w:val="center"/>
          </w:tcPr>
          <w:p w14:paraId="34666B2E" w14:textId="77777777" w:rsidR="00455DC0" w:rsidRDefault="00455DC0" w:rsidP="0041409A">
            <w:pPr>
              <w:jc w:val="center"/>
            </w:pPr>
            <w:r>
              <w:t>Loan Loss Reserve</w:t>
            </w:r>
          </w:p>
        </w:tc>
      </w:tr>
      <w:tr w:rsidR="00455DC0" w14:paraId="32749DDC" w14:textId="77777777" w:rsidTr="00967CCF">
        <w:trPr>
          <w:trHeight w:val="710"/>
        </w:trPr>
        <w:tc>
          <w:tcPr>
            <w:tcW w:w="1075" w:type="dxa"/>
            <w:vAlign w:val="center"/>
          </w:tcPr>
          <w:p w14:paraId="75444364" w14:textId="5B27039D" w:rsidR="00455DC0" w:rsidRDefault="00455DC0" w:rsidP="0041409A">
            <w:pPr>
              <w:jc w:val="center"/>
            </w:pPr>
            <w:r>
              <w:t xml:space="preserve">0 </w:t>
            </w:r>
          </w:p>
        </w:tc>
        <w:tc>
          <w:tcPr>
            <w:tcW w:w="6441" w:type="dxa"/>
            <w:vAlign w:val="center"/>
          </w:tcPr>
          <w:p w14:paraId="56DA5BEC" w14:textId="5CF38175" w:rsidR="00455DC0" w:rsidRDefault="00455DC0" w:rsidP="0041409A">
            <w:r>
              <w:t xml:space="preserve">All payments are due on the </w:t>
            </w:r>
            <w:r w:rsidR="00EA5C6B">
              <w:t>f</w:t>
            </w:r>
            <w:r>
              <w:t xml:space="preserve">irst </w:t>
            </w:r>
            <w:r w:rsidR="00EA5C6B">
              <w:t>d</w:t>
            </w:r>
            <w:r>
              <w:t xml:space="preserve">ay of the </w:t>
            </w:r>
            <w:r w:rsidR="00EA5C6B">
              <w:t>m</w:t>
            </w:r>
            <w:r>
              <w:t>onth, unless otherwise specified in the loan documents</w:t>
            </w:r>
            <w:r w:rsidR="00EA5C6B">
              <w:t>.</w:t>
            </w:r>
          </w:p>
        </w:tc>
        <w:tc>
          <w:tcPr>
            <w:tcW w:w="785" w:type="dxa"/>
            <w:vAlign w:val="center"/>
          </w:tcPr>
          <w:p w14:paraId="12054BAC" w14:textId="77777777" w:rsidR="00455DC0" w:rsidRDefault="00455DC0" w:rsidP="0041409A">
            <w:pPr>
              <w:jc w:val="center"/>
            </w:pPr>
            <w:r>
              <w:t>1</w:t>
            </w:r>
          </w:p>
        </w:tc>
        <w:tc>
          <w:tcPr>
            <w:tcW w:w="1234" w:type="dxa"/>
            <w:vAlign w:val="center"/>
          </w:tcPr>
          <w:p w14:paraId="7034BE47" w14:textId="77777777" w:rsidR="00455DC0" w:rsidRDefault="00455DC0" w:rsidP="0041409A">
            <w:pPr>
              <w:jc w:val="center"/>
            </w:pPr>
            <w:r>
              <w:t>1%</w:t>
            </w:r>
          </w:p>
        </w:tc>
      </w:tr>
      <w:tr w:rsidR="00455DC0" w14:paraId="40711A9B" w14:textId="77777777" w:rsidTr="00967CCF">
        <w:tc>
          <w:tcPr>
            <w:tcW w:w="1075" w:type="dxa"/>
            <w:vAlign w:val="center"/>
          </w:tcPr>
          <w:p w14:paraId="3ED8C256" w14:textId="02C277E1" w:rsidR="00455DC0" w:rsidRDefault="00455DC0" w:rsidP="0041409A">
            <w:pPr>
              <w:jc w:val="center"/>
            </w:pPr>
            <w:r>
              <w:t xml:space="preserve">1 </w:t>
            </w:r>
          </w:p>
        </w:tc>
        <w:tc>
          <w:tcPr>
            <w:tcW w:w="6441" w:type="dxa"/>
          </w:tcPr>
          <w:p w14:paraId="1CA426AD" w14:textId="0AAE3C3D" w:rsidR="00455DC0" w:rsidRPr="007C5CF2" w:rsidRDefault="00455DC0" w:rsidP="0041409A">
            <w:pPr>
              <w:widowControl w:val="0"/>
              <w:tabs>
                <w:tab w:val="left" w:pos="-18"/>
              </w:tabs>
              <w:overflowPunct w:val="0"/>
              <w:autoSpaceDE w:val="0"/>
              <w:autoSpaceDN w:val="0"/>
              <w:adjustRightInd w:val="0"/>
              <w:spacing w:line="225" w:lineRule="auto"/>
            </w:pPr>
            <w:r w:rsidRPr="007C5CF2">
              <w:t xml:space="preserve">All Payments received after the due date will be considered “Late” however, a late fee will not be assessed unless the payment is received after the penalty date established in the </w:t>
            </w:r>
            <w:r w:rsidR="00EA5C6B">
              <w:t>l</w:t>
            </w:r>
            <w:r w:rsidRPr="007C5CF2">
              <w:t xml:space="preserve">oan </w:t>
            </w:r>
            <w:r w:rsidR="00EA5C6B">
              <w:t>d</w:t>
            </w:r>
            <w:r w:rsidRPr="007C5CF2">
              <w:t>ocuments</w:t>
            </w:r>
            <w:r w:rsidR="00EA5C6B">
              <w:t>.</w:t>
            </w:r>
          </w:p>
        </w:tc>
        <w:tc>
          <w:tcPr>
            <w:tcW w:w="785" w:type="dxa"/>
            <w:vAlign w:val="center"/>
          </w:tcPr>
          <w:p w14:paraId="606C6E9F" w14:textId="77777777" w:rsidR="00455DC0" w:rsidRDefault="00455DC0" w:rsidP="0041409A">
            <w:pPr>
              <w:jc w:val="center"/>
            </w:pPr>
            <w:r>
              <w:t>1</w:t>
            </w:r>
          </w:p>
        </w:tc>
        <w:tc>
          <w:tcPr>
            <w:tcW w:w="1234" w:type="dxa"/>
            <w:vAlign w:val="center"/>
          </w:tcPr>
          <w:p w14:paraId="3ADCB74F" w14:textId="77777777" w:rsidR="00455DC0" w:rsidRDefault="00455DC0" w:rsidP="0041409A">
            <w:pPr>
              <w:jc w:val="center"/>
            </w:pPr>
            <w:r>
              <w:t>1%</w:t>
            </w:r>
          </w:p>
        </w:tc>
      </w:tr>
      <w:tr w:rsidR="00455DC0" w14:paraId="599F8AFB" w14:textId="77777777" w:rsidTr="00967CCF">
        <w:tc>
          <w:tcPr>
            <w:tcW w:w="1075" w:type="dxa"/>
            <w:vAlign w:val="center"/>
          </w:tcPr>
          <w:p w14:paraId="4E167C08" w14:textId="797D9E0B" w:rsidR="00455DC0" w:rsidRDefault="00455DC0" w:rsidP="0041409A">
            <w:pPr>
              <w:jc w:val="center"/>
            </w:pPr>
            <w:r>
              <w:t xml:space="preserve">10 </w:t>
            </w:r>
          </w:p>
        </w:tc>
        <w:tc>
          <w:tcPr>
            <w:tcW w:w="6441" w:type="dxa"/>
          </w:tcPr>
          <w:p w14:paraId="4FA122EF" w14:textId="77777777" w:rsidR="00455DC0" w:rsidRPr="007C5CF2" w:rsidRDefault="00455DC0" w:rsidP="0041409A">
            <w:pPr>
              <w:widowControl w:val="0"/>
              <w:tabs>
                <w:tab w:val="left" w:pos="0"/>
              </w:tabs>
              <w:overflowPunct w:val="0"/>
              <w:autoSpaceDE w:val="0"/>
              <w:autoSpaceDN w:val="0"/>
              <w:adjustRightInd w:val="0"/>
              <w:spacing w:line="225" w:lineRule="auto"/>
            </w:pPr>
            <w:r w:rsidRPr="007C5CF2">
              <w:t xml:space="preserve">If payment is received </w:t>
            </w:r>
            <w:r>
              <w:t xml:space="preserve">after </w:t>
            </w:r>
            <w:r w:rsidRPr="007C5CF2">
              <w:t xml:space="preserve">the </w:t>
            </w:r>
            <w:r>
              <w:t>“L</w:t>
            </w:r>
            <w:r w:rsidRPr="007C5CF2">
              <w:t>ate</w:t>
            </w:r>
            <w:r>
              <w:t>”</w:t>
            </w:r>
            <w:r w:rsidRPr="007C5CF2">
              <w:t xml:space="preserve"> period (10 days</w:t>
            </w:r>
            <w:r>
              <w:t xml:space="preserve"> unless otherwise specified in the loan documents</w:t>
            </w:r>
            <w:r w:rsidRPr="007C5CF2">
              <w:t>)</w:t>
            </w:r>
            <w:r>
              <w:t xml:space="preserve"> there will be a late fee assessed (if applicable).  </w:t>
            </w:r>
          </w:p>
        </w:tc>
        <w:tc>
          <w:tcPr>
            <w:tcW w:w="785" w:type="dxa"/>
            <w:vAlign w:val="center"/>
          </w:tcPr>
          <w:p w14:paraId="73C61778" w14:textId="77777777" w:rsidR="00455DC0" w:rsidRDefault="00455DC0" w:rsidP="0041409A">
            <w:pPr>
              <w:jc w:val="center"/>
            </w:pPr>
            <w:r>
              <w:t>1</w:t>
            </w:r>
          </w:p>
        </w:tc>
        <w:tc>
          <w:tcPr>
            <w:tcW w:w="1234" w:type="dxa"/>
            <w:vAlign w:val="center"/>
          </w:tcPr>
          <w:p w14:paraId="117F3EF9" w14:textId="77777777" w:rsidR="00455DC0" w:rsidRDefault="00455DC0" w:rsidP="0041409A">
            <w:pPr>
              <w:jc w:val="center"/>
            </w:pPr>
            <w:r>
              <w:t>1%</w:t>
            </w:r>
          </w:p>
        </w:tc>
      </w:tr>
      <w:tr w:rsidR="00455DC0" w14:paraId="6463D3F4" w14:textId="77777777" w:rsidTr="00967CCF">
        <w:tc>
          <w:tcPr>
            <w:tcW w:w="1075" w:type="dxa"/>
            <w:vAlign w:val="center"/>
          </w:tcPr>
          <w:p w14:paraId="58A3A5AF" w14:textId="4209AA41" w:rsidR="00455DC0" w:rsidRDefault="00455DC0" w:rsidP="0041409A">
            <w:pPr>
              <w:jc w:val="center"/>
            </w:pPr>
            <w:r>
              <w:t xml:space="preserve">15 </w:t>
            </w:r>
          </w:p>
        </w:tc>
        <w:tc>
          <w:tcPr>
            <w:tcW w:w="6441" w:type="dxa"/>
          </w:tcPr>
          <w:p w14:paraId="19181700" w14:textId="77777777" w:rsidR="00455DC0" w:rsidRPr="007C5CF2" w:rsidRDefault="00455DC0" w:rsidP="0041409A">
            <w:pPr>
              <w:widowControl w:val="0"/>
              <w:tabs>
                <w:tab w:val="left" w:pos="0"/>
              </w:tabs>
              <w:overflowPunct w:val="0"/>
              <w:autoSpaceDE w:val="0"/>
              <w:autoSpaceDN w:val="0"/>
              <w:adjustRightInd w:val="0"/>
              <w:spacing w:line="225" w:lineRule="auto"/>
            </w:pPr>
            <w:r>
              <w:t>After 10 days past due, but before 15 days past due, an email and letter will be sent to the borrower explaining that a late fee has been charged (if applicable) and warning the borrower that the account will become delinquent if they have not paid before 30 days.</w:t>
            </w:r>
          </w:p>
        </w:tc>
        <w:tc>
          <w:tcPr>
            <w:tcW w:w="785" w:type="dxa"/>
            <w:vAlign w:val="center"/>
          </w:tcPr>
          <w:p w14:paraId="4C37081B" w14:textId="77777777" w:rsidR="00455DC0" w:rsidRDefault="00455DC0" w:rsidP="0041409A">
            <w:pPr>
              <w:jc w:val="center"/>
            </w:pPr>
            <w:r>
              <w:t>1</w:t>
            </w:r>
          </w:p>
        </w:tc>
        <w:tc>
          <w:tcPr>
            <w:tcW w:w="1234" w:type="dxa"/>
            <w:vAlign w:val="center"/>
          </w:tcPr>
          <w:p w14:paraId="763EDAFB" w14:textId="77777777" w:rsidR="00455DC0" w:rsidRDefault="00455DC0" w:rsidP="0041409A">
            <w:pPr>
              <w:jc w:val="center"/>
            </w:pPr>
            <w:r>
              <w:t>1%</w:t>
            </w:r>
          </w:p>
        </w:tc>
      </w:tr>
      <w:tr w:rsidR="00455DC0" w14:paraId="72B798F2" w14:textId="77777777" w:rsidTr="00967CCF">
        <w:tc>
          <w:tcPr>
            <w:tcW w:w="1075" w:type="dxa"/>
            <w:vAlign w:val="center"/>
          </w:tcPr>
          <w:p w14:paraId="64C732BF" w14:textId="1DAA9644" w:rsidR="00455DC0" w:rsidRDefault="00455DC0" w:rsidP="0041409A">
            <w:pPr>
              <w:jc w:val="center"/>
            </w:pPr>
            <w:r>
              <w:t xml:space="preserve">30 </w:t>
            </w:r>
          </w:p>
        </w:tc>
        <w:tc>
          <w:tcPr>
            <w:tcW w:w="6441" w:type="dxa"/>
          </w:tcPr>
          <w:p w14:paraId="48F2B3EF" w14:textId="1BC77D7C" w:rsidR="00455DC0" w:rsidRPr="007C5CF2" w:rsidRDefault="00455DC0" w:rsidP="0041409A">
            <w:pPr>
              <w:widowControl w:val="0"/>
              <w:tabs>
                <w:tab w:val="left" w:pos="2484"/>
                <w:tab w:val="left" w:pos="2767"/>
              </w:tabs>
              <w:overflowPunct w:val="0"/>
              <w:autoSpaceDE w:val="0"/>
              <w:autoSpaceDN w:val="0"/>
              <w:adjustRightInd w:val="0"/>
              <w:spacing w:line="225" w:lineRule="auto"/>
            </w:pPr>
            <w:r>
              <w:t xml:space="preserve">After 30 days of nonpayment, an account is considered Delinquent.  A 30-day notice will be sent by regular mail </w:t>
            </w:r>
            <w:r w:rsidR="00967CCF">
              <w:t>and</w:t>
            </w:r>
            <w:r>
              <w:t xml:space="preserve"> email requesting payment or to meet and discuss a remediation plan before 45 days past due. </w:t>
            </w:r>
          </w:p>
        </w:tc>
        <w:tc>
          <w:tcPr>
            <w:tcW w:w="785" w:type="dxa"/>
            <w:vAlign w:val="center"/>
          </w:tcPr>
          <w:p w14:paraId="21EDBCE8" w14:textId="77777777" w:rsidR="00455DC0" w:rsidRDefault="00455DC0" w:rsidP="0041409A">
            <w:pPr>
              <w:jc w:val="center"/>
            </w:pPr>
            <w:r>
              <w:t>2</w:t>
            </w:r>
          </w:p>
        </w:tc>
        <w:tc>
          <w:tcPr>
            <w:tcW w:w="1234" w:type="dxa"/>
            <w:vAlign w:val="center"/>
          </w:tcPr>
          <w:p w14:paraId="3874C508" w14:textId="77777777" w:rsidR="00455DC0" w:rsidRDefault="00455DC0" w:rsidP="0041409A">
            <w:pPr>
              <w:jc w:val="center"/>
            </w:pPr>
            <w:r>
              <w:t>2-4%</w:t>
            </w:r>
          </w:p>
        </w:tc>
      </w:tr>
      <w:tr w:rsidR="00455DC0" w14:paraId="0D0B293A" w14:textId="77777777" w:rsidTr="00967CCF">
        <w:tc>
          <w:tcPr>
            <w:tcW w:w="1075" w:type="dxa"/>
            <w:vAlign w:val="center"/>
          </w:tcPr>
          <w:p w14:paraId="08738257" w14:textId="7ED605C6" w:rsidR="00455DC0" w:rsidRDefault="00455DC0" w:rsidP="0041409A">
            <w:pPr>
              <w:jc w:val="center"/>
            </w:pPr>
            <w:r>
              <w:t xml:space="preserve">45 </w:t>
            </w:r>
          </w:p>
        </w:tc>
        <w:tc>
          <w:tcPr>
            <w:tcW w:w="6441" w:type="dxa"/>
          </w:tcPr>
          <w:p w14:paraId="525BF1FC" w14:textId="53B5C4D8" w:rsidR="00455DC0" w:rsidRDefault="00455DC0" w:rsidP="0041409A">
            <w:pPr>
              <w:widowControl w:val="0"/>
              <w:tabs>
                <w:tab w:val="left" w:pos="2484"/>
                <w:tab w:val="left" w:pos="2767"/>
              </w:tabs>
              <w:overflowPunct w:val="0"/>
              <w:autoSpaceDE w:val="0"/>
              <w:autoSpaceDN w:val="0"/>
              <w:adjustRightInd w:val="0"/>
              <w:spacing w:line="225" w:lineRule="auto"/>
            </w:pPr>
            <w:r>
              <w:t>If there has been no response by the 45</w:t>
            </w:r>
            <w:r w:rsidRPr="00EB75DC">
              <w:rPr>
                <w:vertAlign w:val="superscript"/>
              </w:rPr>
              <w:t>th</w:t>
            </w:r>
            <w:r>
              <w:t xml:space="preserve"> day from the payment due date, staff will visit the business to be proactive in ensuring that the loan is </w:t>
            </w:r>
            <w:r w:rsidR="00A95932">
              <w:t>repaid,</w:t>
            </w:r>
            <w:r>
              <w:t xml:space="preserve"> or a payment plan is figured out. </w:t>
            </w:r>
          </w:p>
        </w:tc>
        <w:tc>
          <w:tcPr>
            <w:tcW w:w="785" w:type="dxa"/>
            <w:vAlign w:val="center"/>
          </w:tcPr>
          <w:p w14:paraId="2C5F3B19" w14:textId="77777777" w:rsidR="00455DC0" w:rsidRDefault="00455DC0" w:rsidP="0041409A">
            <w:pPr>
              <w:jc w:val="center"/>
            </w:pPr>
            <w:r>
              <w:t>2</w:t>
            </w:r>
          </w:p>
        </w:tc>
        <w:tc>
          <w:tcPr>
            <w:tcW w:w="1234" w:type="dxa"/>
            <w:vAlign w:val="center"/>
          </w:tcPr>
          <w:p w14:paraId="5C6AECCC" w14:textId="77777777" w:rsidR="00455DC0" w:rsidRDefault="00455DC0" w:rsidP="0041409A">
            <w:pPr>
              <w:jc w:val="center"/>
            </w:pPr>
            <w:r>
              <w:t>2-4%</w:t>
            </w:r>
          </w:p>
        </w:tc>
      </w:tr>
      <w:tr w:rsidR="00455DC0" w14:paraId="48CE8CAF" w14:textId="77777777" w:rsidTr="00967CCF">
        <w:tc>
          <w:tcPr>
            <w:tcW w:w="1075" w:type="dxa"/>
            <w:vAlign w:val="center"/>
          </w:tcPr>
          <w:p w14:paraId="003944C1" w14:textId="22DDC734" w:rsidR="00455DC0" w:rsidRDefault="00455DC0" w:rsidP="0041409A">
            <w:pPr>
              <w:jc w:val="center"/>
            </w:pPr>
            <w:r>
              <w:t xml:space="preserve">60 </w:t>
            </w:r>
          </w:p>
        </w:tc>
        <w:tc>
          <w:tcPr>
            <w:tcW w:w="6441" w:type="dxa"/>
          </w:tcPr>
          <w:p w14:paraId="300F59CF" w14:textId="47FAC7D4" w:rsidR="00455DC0" w:rsidRDefault="00455DC0" w:rsidP="0041409A">
            <w:pPr>
              <w:widowControl w:val="0"/>
              <w:tabs>
                <w:tab w:val="left" w:pos="2484"/>
                <w:tab w:val="left" w:pos="2767"/>
              </w:tabs>
              <w:overflowPunct w:val="0"/>
              <w:autoSpaceDE w:val="0"/>
              <w:autoSpaceDN w:val="0"/>
              <w:adjustRightInd w:val="0"/>
              <w:spacing w:line="225" w:lineRule="auto"/>
            </w:pPr>
            <w:r>
              <w:t>If no action is taken by the 60</w:t>
            </w:r>
            <w:r w:rsidRPr="00D17042">
              <w:rPr>
                <w:vertAlign w:val="superscript"/>
              </w:rPr>
              <w:t>th</w:t>
            </w:r>
            <w:r>
              <w:t xml:space="preserve"> day after payment is due, the </w:t>
            </w:r>
            <w:r w:rsidR="00EA5C6B">
              <w:t>RLF</w:t>
            </w:r>
            <w:r>
              <w:t xml:space="preserve"> Committee may direct staff to send a “Foreclosure Pending” notice to the borrower through email </w:t>
            </w:r>
            <w:r w:rsidR="004F1246">
              <w:t>and</w:t>
            </w:r>
            <w:r>
              <w:t xml:space="preserve"> certified mail to the borrower.  </w:t>
            </w:r>
          </w:p>
          <w:p w14:paraId="57F52ECB" w14:textId="591FEA8B" w:rsidR="00455DC0" w:rsidRPr="007C5CF2" w:rsidRDefault="00455DC0" w:rsidP="0041409A">
            <w:pPr>
              <w:widowControl w:val="0"/>
              <w:tabs>
                <w:tab w:val="left" w:pos="2484"/>
                <w:tab w:val="left" w:pos="2767"/>
              </w:tabs>
              <w:overflowPunct w:val="0"/>
              <w:autoSpaceDE w:val="0"/>
              <w:autoSpaceDN w:val="0"/>
              <w:adjustRightInd w:val="0"/>
              <w:spacing w:line="225" w:lineRule="auto"/>
            </w:pPr>
            <w:r>
              <w:t xml:space="preserve">The notice should state that the Board will vote on foreclosure if the account becomes 90 days delinquent and remind the borrower that they must meet with staff to create an approved remediation </w:t>
            </w:r>
            <w:r w:rsidR="00EA5C6B">
              <w:t>and</w:t>
            </w:r>
            <w:r>
              <w:t xml:space="preserve"> payment plan. </w:t>
            </w:r>
          </w:p>
        </w:tc>
        <w:tc>
          <w:tcPr>
            <w:tcW w:w="785" w:type="dxa"/>
            <w:vAlign w:val="center"/>
          </w:tcPr>
          <w:p w14:paraId="74110CBE" w14:textId="77777777" w:rsidR="00455DC0" w:rsidRDefault="00455DC0" w:rsidP="0041409A">
            <w:pPr>
              <w:jc w:val="center"/>
            </w:pPr>
            <w:r>
              <w:t>3</w:t>
            </w:r>
          </w:p>
        </w:tc>
        <w:tc>
          <w:tcPr>
            <w:tcW w:w="1234" w:type="dxa"/>
            <w:vAlign w:val="center"/>
          </w:tcPr>
          <w:p w14:paraId="4D22BD8C" w14:textId="77777777" w:rsidR="00455DC0" w:rsidRDefault="00455DC0" w:rsidP="0041409A">
            <w:pPr>
              <w:jc w:val="center"/>
            </w:pPr>
            <w:r>
              <w:t>5-30%</w:t>
            </w:r>
          </w:p>
        </w:tc>
      </w:tr>
      <w:tr w:rsidR="00455DC0" w14:paraId="720B4B7B" w14:textId="77777777" w:rsidTr="00967CCF">
        <w:tc>
          <w:tcPr>
            <w:tcW w:w="1075" w:type="dxa"/>
            <w:vAlign w:val="center"/>
          </w:tcPr>
          <w:p w14:paraId="36F7F3D6" w14:textId="12F659AF" w:rsidR="00455DC0" w:rsidRDefault="00455DC0" w:rsidP="0041409A">
            <w:pPr>
              <w:jc w:val="center"/>
            </w:pPr>
            <w:r>
              <w:t xml:space="preserve">90 </w:t>
            </w:r>
          </w:p>
        </w:tc>
        <w:tc>
          <w:tcPr>
            <w:tcW w:w="6441" w:type="dxa"/>
          </w:tcPr>
          <w:p w14:paraId="2B0434A3" w14:textId="7E070D44" w:rsidR="00455DC0" w:rsidRDefault="00455DC0" w:rsidP="0041409A">
            <w:r>
              <w:t xml:space="preserve">If an account is 90 days delinquent or has failed to complete an approved remediation </w:t>
            </w:r>
            <w:r w:rsidR="004F1246">
              <w:t>and</w:t>
            </w:r>
            <w:r>
              <w:t xml:space="preserve"> payment plan, </w:t>
            </w:r>
            <w:r w:rsidR="00EA5C6B">
              <w:t>the RLF committee</w:t>
            </w:r>
            <w:r>
              <w:t xml:space="preserve"> </w:t>
            </w:r>
            <w:r w:rsidR="00EA5C6B">
              <w:t>may</w:t>
            </w:r>
            <w:r>
              <w:t xml:space="preserve"> recommend foreclosure</w:t>
            </w:r>
            <w:r w:rsidR="00EA5C6B">
              <w:t xml:space="preserve"> to the Executive Committee. If the Executive Committee approves the </w:t>
            </w:r>
            <w:r>
              <w:t xml:space="preserve">foreclosure, the borrower will receive through regular </w:t>
            </w:r>
            <w:r w:rsidR="00EA5C6B">
              <w:t>and</w:t>
            </w:r>
            <w:r>
              <w:t xml:space="preserve"> certified mail a letter noting that they have 30 days to:</w:t>
            </w:r>
          </w:p>
          <w:p w14:paraId="5B640D02" w14:textId="10DE263F" w:rsidR="00455DC0" w:rsidRDefault="00455DC0" w:rsidP="00455DC0">
            <w:pPr>
              <w:pStyle w:val="ListParagraph"/>
              <w:numPr>
                <w:ilvl w:val="0"/>
                <w:numId w:val="21"/>
              </w:numPr>
            </w:pPr>
            <w:r>
              <w:t xml:space="preserve">Become current on payments, </w:t>
            </w:r>
            <w:r w:rsidR="004F1246">
              <w:t>or</w:t>
            </w:r>
          </w:p>
          <w:p w14:paraId="2853DD9F" w14:textId="50A9FC65" w:rsidR="00455DC0" w:rsidRDefault="00455DC0" w:rsidP="00455DC0">
            <w:pPr>
              <w:pStyle w:val="ListParagraph"/>
              <w:numPr>
                <w:ilvl w:val="0"/>
                <w:numId w:val="21"/>
              </w:numPr>
            </w:pPr>
            <w:r>
              <w:t xml:space="preserve">If there are no other liens or claims on the title of the collateral </w:t>
            </w:r>
            <w:r w:rsidR="004F1246">
              <w:t>and</w:t>
            </w:r>
            <w:r>
              <w:t xml:space="preserve"> it is acceptable, sign a deed-in-lieu of foreclosure, </w:t>
            </w:r>
            <w:r w:rsidR="004F1246">
              <w:t>or</w:t>
            </w:r>
          </w:p>
          <w:p w14:paraId="3469D2B6" w14:textId="718DF225" w:rsidR="00455DC0" w:rsidRPr="007C5CF2" w:rsidRDefault="00455DC0" w:rsidP="00455DC0">
            <w:pPr>
              <w:pStyle w:val="ListParagraph"/>
              <w:numPr>
                <w:ilvl w:val="0"/>
                <w:numId w:val="21"/>
              </w:numPr>
            </w:pPr>
            <w:r>
              <w:t>Allow the foreclosure to proceed</w:t>
            </w:r>
            <w:r w:rsidR="00EA5C6B">
              <w:t>.</w:t>
            </w:r>
            <w:r>
              <w:t xml:space="preserve"> </w:t>
            </w:r>
            <w:r w:rsidR="00EA5C6B">
              <w:t>A</w:t>
            </w:r>
            <w:r>
              <w:t>fter proceedings begin the only option available to the borrower shall be to pay the delinquent amount and all legal costs, alternatively, NCNMEDD may demand the payment in full of the entire loan.</w:t>
            </w:r>
          </w:p>
        </w:tc>
        <w:tc>
          <w:tcPr>
            <w:tcW w:w="785" w:type="dxa"/>
            <w:vAlign w:val="center"/>
          </w:tcPr>
          <w:p w14:paraId="5AC56190" w14:textId="77777777" w:rsidR="00455DC0" w:rsidRDefault="00455DC0" w:rsidP="0041409A">
            <w:pPr>
              <w:jc w:val="center"/>
            </w:pPr>
            <w:r>
              <w:t>4</w:t>
            </w:r>
          </w:p>
        </w:tc>
        <w:tc>
          <w:tcPr>
            <w:tcW w:w="1234" w:type="dxa"/>
            <w:vAlign w:val="center"/>
          </w:tcPr>
          <w:p w14:paraId="613CBC29" w14:textId="77777777" w:rsidR="00455DC0" w:rsidRDefault="00455DC0" w:rsidP="0041409A">
            <w:pPr>
              <w:jc w:val="center"/>
            </w:pPr>
            <w:r>
              <w:t>31-50%</w:t>
            </w:r>
          </w:p>
        </w:tc>
      </w:tr>
      <w:tr w:rsidR="00455DC0" w14:paraId="187E91EF" w14:textId="77777777" w:rsidTr="00967CCF">
        <w:tc>
          <w:tcPr>
            <w:tcW w:w="1075" w:type="dxa"/>
            <w:vAlign w:val="center"/>
          </w:tcPr>
          <w:p w14:paraId="365B9EAD" w14:textId="7AEF2949" w:rsidR="00455DC0" w:rsidRDefault="00455DC0" w:rsidP="0041409A">
            <w:pPr>
              <w:jc w:val="center"/>
            </w:pPr>
            <w:r>
              <w:t xml:space="preserve">120 </w:t>
            </w:r>
          </w:p>
        </w:tc>
        <w:tc>
          <w:tcPr>
            <w:tcW w:w="6441" w:type="dxa"/>
          </w:tcPr>
          <w:p w14:paraId="73E32963" w14:textId="5ECF7707" w:rsidR="00455DC0" w:rsidRPr="007C5CF2" w:rsidRDefault="00455DC0" w:rsidP="0041409A">
            <w:pPr>
              <w:tabs>
                <w:tab w:val="left" w:pos="-18"/>
              </w:tabs>
              <w:ind w:left="-1"/>
            </w:pPr>
            <w:r>
              <w:t xml:space="preserve">If a foreclosure would be prohibitive, action has not been taken, and the borrower has not been responsive, the </w:t>
            </w:r>
            <w:r w:rsidR="00EA5C6B">
              <w:t>RLF</w:t>
            </w:r>
            <w:r>
              <w:t xml:space="preserve"> Committee may recommend writing off any </w:t>
            </w:r>
            <w:r w:rsidR="00EA5C6B">
              <w:t>r</w:t>
            </w:r>
            <w:r w:rsidRPr="007C5CF2">
              <w:t xml:space="preserve">emaining </w:t>
            </w:r>
            <w:r w:rsidR="00EA5C6B">
              <w:t>c</w:t>
            </w:r>
            <w:r w:rsidRPr="007C5CF2">
              <w:t xml:space="preserve">redit </w:t>
            </w:r>
            <w:r w:rsidR="00EA5C6B">
              <w:t>b</w:t>
            </w:r>
            <w:r w:rsidRPr="007C5CF2">
              <w:t>alance</w:t>
            </w:r>
            <w:r>
              <w:t xml:space="preserve"> </w:t>
            </w:r>
            <w:r w:rsidR="00EA5C6B">
              <w:t>to the Executive Committee.</w:t>
            </w:r>
          </w:p>
        </w:tc>
        <w:tc>
          <w:tcPr>
            <w:tcW w:w="785" w:type="dxa"/>
            <w:vAlign w:val="center"/>
          </w:tcPr>
          <w:p w14:paraId="6CB7B34C" w14:textId="77777777" w:rsidR="00455DC0" w:rsidRDefault="00455DC0" w:rsidP="0041409A">
            <w:pPr>
              <w:jc w:val="center"/>
            </w:pPr>
            <w:r>
              <w:t>5</w:t>
            </w:r>
          </w:p>
        </w:tc>
        <w:tc>
          <w:tcPr>
            <w:tcW w:w="1234" w:type="dxa"/>
            <w:vAlign w:val="center"/>
          </w:tcPr>
          <w:p w14:paraId="5E666005" w14:textId="77777777" w:rsidR="00455DC0" w:rsidRDefault="00455DC0" w:rsidP="0041409A">
            <w:pPr>
              <w:jc w:val="center"/>
            </w:pPr>
            <w:r>
              <w:t>51-100%</w:t>
            </w:r>
          </w:p>
        </w:tc>
      </w:tr>
    </w:tbl>
    <w:p w14:paraId="0240779D" w14:textId="77777777" w:rsidR="004636B3" w:rsidRPr="00583798" w:rsidRDefault="004636B3" w:rsidP="009A1AD7"/>
    <w:p w14:paraId="2C461AEC" w14:textId="1EE3BD2B" w:rsidR="0021563C" w:rsidRDefault="00337C5A" w:rsidP="0034338A">
      <w:pPr>
        <w:pStyle w:val="Heading2"/>
      </w:pPr>
      <w:bookmarkStart w:id="19" w:name="_Toc74578193"/>
      <w:r>
        <w:t>5.</w:t>
      </w:r>
      <w:r w:rsidR="00583798">
        <w:t>7</w:t>
      </w:r>
      <w:r>
        <w:t xml:space="preserve"> </w:t>
      </w:r>
      <w:r w:rsidR="0034338A">
        <w:t>Conflicts of Interest</w:t>
      </w:r>
      <w:bookmarkEnd w:id="19"/>
    </w:p>
    <w:p w14:paraId="5BA4708C" w14:textId="4527F6AE" w:rsidR="00B213D7" w:rsidRDefault="0034338A">
      <w:r>
        <w:t xml:space="preserve">All potential conflicts of interest </w:t>
      </w:r>
      <w:r w:rsidR="001514EE">
        <w:t>involving</w:t>
      </w:r>
      <w:r>
        <w:t xml:space="preserve"> NCNMEDD </w:t>
      </w:r>
      <w:r w:rsidR="001514EE">
        <w:t>s</w:t>
      </w:r>
      <w:r>
        <w:t xml:space="preserve">taff, </w:t>
      </w:r>
      <w:r w:rsidR="00D94375">
        <w:t>RLF</w:t>
      </w:r>
      <w:r>
        <w:t xml:space="preserve"> Committee </w:t>
      </w:r>
      <w:r w:rsidR="001514EE">
        <w:t>m</w:t>
      </w:r>
      <w:r>
        <w:t xml:space="preserve">embers, and Executive Committee members must be disclosed in accordance with NCNMEDD’s </w:t>
      </w:r>
      <w:r w:rsidR="001514EE">
        <w:t>C</w:t>
      </w:r>
      <w:r>
        <w:t xml:space="preserve">onflict of </w:t>
      </w:r>
      <w:r w:rsidR="001514EE">
        <w:t>I</w:t>
      </w:r>
      <w:r>
        <w:t xml:space="preserve">nterest </w:t>
      </w:r>
      <w:r w:rsidR="001514EE">
        <w:t>Policy</w:t>
      </w:r>
      <w:r>
        <w:t xml:space="preserve">.  </w:t>
      </w:r>
      <w:r w:rsidR="00B213D7">
        <w:br w:type="page"/>
      </w:r>
    </w:p>
    <w:p w14:paraId="15C5485C" w14:textId="18595EEC" w:rsidR="00996EE6" w:rsidRDefault="00996EE6" w:rsidP="00996EE6">
      <w:pPr>
        <w:pStyle w:val="Heading1"/>
      </w:pPr>
      <w:bookmarkStart w:id="20" w:name="_Toc74578194"/>
      <w:r>
        <w:lastRenderedPageBreak/>
        <w:t xml:space="preserve">Appendix </w:t>
      </w:r>
      <w:r w:rsidR="00455DC0">
        <w:t>1</w:t>
      </w:r>
      <w:r>
        <w:t>: Summary of SBA Ineligible Businesses</w:t>
      </w:r>
      <w:bookmarkEnd w:id="20"/>
    </w:p>
    <w:p w14:paraId="7229B657" w14:textId="77777777" w:rsidR="00996EE6" w:rsidRDefault="00996EE6" w:rsidP="00996EE6"/>
    <w:p w14:paraId="5F569F4D" w14:textId="029390E1" w:rsidR="00996EE6" w:rsidRDefault="00996EE6" w:rsidP="00996EE6">
      <w:r>
        <w:t xml:space="preserve">Summary of SBA Listing of Ineligible Businesses (Full Ineligible Listing is at </w:t>
      </w:r>
      <w:r w:rsidRPr="00F64BCB">
        <w:t>13 CFR § 120.110</w:t>
      </w:r>
      <w:r>
        <w:t>)</w:t>
      </w:r>
    </w:p>
    <w:p w14:paraId="192A411D" w14:textId="77777777" w:rsidR="00996EE6" w:rsidRDefault="00996EE6" w:rsidP="00996EE6">
      <w:pPr>
        <w:pStyle w:val="ListParagraph"/>
        <w:numPr>
          <w:ilvl w:val="0"/>
          <w:numId w:val="10"/>
        </w:numPr>
      </w:pPr>
      <w:r>
        <w:t>Non-profit businesses.</w:t>
      </w:r>
    </w:p>
    <w:p w14:paraId="0510BDD8" w14:textId="77777777" w:rsidR="00996EE6" w:rsidRDefault="00996EE6" w:rsidP="00996EE6">
      <w:pPr>
        <w:pStyle w:val="ListParagraph"/>
        <w:numPr>
          <w:ilvl w:val="0"/>
          <w:numId w:val="10"/>
        </w:numPr>
      </w:pPr>
      <w:r>
        <w:t xml:space="preserve">Financial businesses primarily engaged in the business of lending. </w:t>
      </w:r>
    </w:p>
    <w:p w14:paraId="6E4FC5CE" w14:textId="77777777" w:rsidR="00996EE6" w:rsidRDefault="00996EE6" w:rsidP="00996EE6">
      <w:pPr>
        <w:pStyle w:val="ListParagraph"/>
        <w:numPr>
          <w:ilvl w:val="0"/>
          <w:numId w:val="10"/>
        </w:numPr>
      </w:pPr>
      <w:r>
        <w:t>Passive businesses owned by developers and landlords that do not actively use or occupy the assets acquired or improved with the loan proceeds.</w:t>
      </w:r>
    </w:p>
    <w:p w14:paraId="056474D6" w14:textId="77777777" w:rsidR="00996EE6" w:rsidRDefault="00996EE6" w:rsidP="00996EE6">
      <w:pPr>
        <w:pStyle w:val="ListParagraph"/>
        <w:numPr>
          <w:ilvl w:val="0"/>
          <w:numId w:val="10"/>
        </w:numPr>
      </w:pPr>
      <w:r>
        <w:t>Life insurance companies.</w:t>
      </w:r>
    </w:p>
    <w:p w14:paraId="79E2F919" w14:textId="77777777" w:rsidR="00996EE6" w:rsidRDefault="00996EE6" w:rsidP="00996EE6">
      <w:pPr>
        <w:pStyle w:val="ListParagraph"/>
        <w:numPr>
          <w:ilvl w:val="0"/>
          <w:numId w:val="10"/>
        </w:numPr>
      </w:pPr>
      <w:r>
        <w:t xml:space="preserve">Businesses located in a foreign country. </w:t>
      </w:r>
    </w:p>
    <w:p w14:paraId="137B3F9A" w14:textId="77777777" w:rsidR="00996EE6" w:rsidRDefault="00996EE6" w:rsidP="00996EE6">
      <w:pPr>
        <w:pStyle w:val="ListParagraph"/>
        <w:numPr>
          <w:ilvl w:val="0"/>
          <w:numId w:val="10"/>
        </w:numPr>
      </w:pPr>
      <w:r>
        <w:t xml:space="preserve">Pyramid sale distribution plans. </w:t>
      </w:r>
    </w:p>
    <w:p w14:paraId="7A43B2CF" w14:textId="77777777" w:rsidR="00996EE6" w:rsidRDefault="00996EE6" w:rsidP="00996EE6">
      <w:pPr>
        <w:pStyle w:val="ListParagraph"/>
        <w:numPr>
          <w:ilvl w:val="0"/>
          <w:numId w:val="10"/>
        </w:numPr>
      </w:pPr>
      <w:r>
        <w:t xml:space="preserve">Businesses deriving more than 1/3 of gross annual revenue from legal gambling activities. </w:t>
      </w:r>
    </w:p>
    <w:p w14:paraId="122FB46D" w14:textId="77777777" w:rsidR="00996EE6" w:rsidRDefault="00996EE6" w:rsidP="00996EE6">
      <w:pPr>
        <w:pStyle w:val="ListParagraph"/>
        <w:numPr>
          <w:ilvl w:val="0"/>
          <w:numId w:val="10"/>
        </w:numPr>
      </w:pPr>
      <w:r>
        <w:t>Businesses engaged in any illegal activity.</w:t>
      </w:r>
    </w:p>
    <w:p w14:paraId="4B296B93" w14:textId="77777777" w:rsidR="00996EE6" w:rsidRDefault="00996EE6" w:rsidP="00996EE6">
      <w:pPr>
        <w:pStyle w:val="ListParagraph"/>
        <w:numPr>
          <w:ilvl w:val="0"/>
          <w:numId w:val="10"/>
        </w:numPr>
      </w:pPr>
      <w:r>
        <w:t>Private clubs and businesses which limit the number of memberships for reasons other than capacity.</w:t>
      </w:r>
    </w:p>
    <w:p w14:paraId="0F10C62A" w14:textId="77777777" w:rsidR="00996EE6" w:rsidRDefault="00996EE6" w:rsidP="00996EE6">
      <w:pPr>
        <w:pStyle w:val="ListParagraph"/>
        <w:numPr>
          <w:ilvl w:val="0"/>
          <w:numId w:val="10"/>
        </w:numPr>
      </w:pPr>
      <w:r>
        <w:t xml:space="preserve">Government-owned entities. </w:t>
      </w:r>
    </w:p>
    <w:p w14:paraId="118EF1FB" w14:textId="77777777" w:rsidR="00996EE6" w:rsidRDefault="00996EE6" w:rsidP="00996EE6">
      <w:pPr>
        <w:pStyle w:val="ListParagraph"/>
        <w:numPr>
          <w:ilvl w:val="0"/>
          <w:numId w:val="10"/>
        </w:numPr>
      </w:pPr>
      <w:r>
        <w:t>Businesses principally engaged in teaching, instructing, counseling or indoctrinating religion or religious beliefs, whether in a religious or secular setting.</w:t>
      </w:r>
    </w:p>
    <w:p w14:paraId="33E5F0EB" w14:textId="77777777" w:rsidR="00996EE6" w:rsidRDefault="00996EE6" w:rsidP="00996EE6">
      <w:pPr>
        <w:pStyle w:val="ListParagraph"/>
        <w:numPr>
          <w:ilvl w:val="0"/>
          <w:numId w:val="10"/>
        </w:numPr>
      </w:pPr>
      <w:r>
        <w:t xml:space="preserve">Consumer and marketing cooperatives. </w:t>
      </w:r>
    </w:p>
    <w:p w14:paraId="17582CD5" w14:textId="77777777" w:rsidR="00996EE6" w:rsidRDefault="00996EE6" w:rsidP="00996EE6">
      <w:pPr>
        <w:pStyle w:val="ListParagraph"/>
        <w:numPr>
          <w:ilvl w:val="0"/>
          <w:numId w:val="10"/>
        </w:numPr>
      </w:pPr>
      <w:r>
        <w:t xml:space="preserve">Loan packagers earning more than 1/3 of gross annual revenue from packaging SBA loans. </w:t>
      </w:r>
    </w:p>
    <w:p w14:paraId="2CBCA978" w14:textId="77777777" w:rsidR="00996EE6" w:rsidRDefault="00996EE6" w:rsidP="00996EE6">
      <w:pPr>
        <w:pStyle w:val="ListParagraph"/>
        <w:numPr>
          <w:ilvl w:val="0"/>
          <w:numId w:val="10"/>
        </w:numPr>
      </w:pPr>
      <w:r>
        <w:t>Businesses with an Associate who is incarcerated, on probation, on parole, or has been indicted for a felony or a crime of moral turpitude.</w:t>
      </w:r>
    </w:p>
    <w:p w14:paraId="5CBE1C03" w14:textId="77777777" w:rsidR="00996EE6" w:rsidRDefault="00996EE6" w:rsidP="00996EE6">
      <w:pPr>
        <w:pStyle w:val="ListParagraph"/>
        <w:numPr>
          <w:ilvl w:val="0"/>
          <w:numId w:val="10"/>
        </w:numPr>
      </w:pPr>
      <w:r>
        <w:t xml:space="preserve">Businesses in which the Lender or CDC, or any of its Associates owns an equity interest. </w:t>
      </w:r>
    </w:p>
    <w:p w14:paraId="04457A82" w14:textId="77777777" w:rsidR="00996EE6" w:rsidRDefault="00996EE6" w:rsidP="00996EE6">
      <w:pPr>
        <w:pStyle w:val="ListParagraph"/>
        <w:numPr>
          <w:ilvl w:val="0"/>
          <w:numId w:val="10"/>
        </w:numPr>
      </w:pPr>
      <w:r>
        <w:t xml:space="preserve">Businesses which present live performances of a prurient sexual nature. </w:t>
      </w:r>
    </w:p>
    <w:p w14:paraId="7879716A" w14:textId="77777777" w:rsidR="00996EE6" w:rsidRDefault="00996EE6" w:rsidP="00996EE6">
      <w:pPr>
        <w:pStyle w:val="ListParagraph"/>
        <w:numPr>
          <w:ilvl w:val="0"/>
          <w:numId w:val="10"/>
        </w:numPr>
      </w:pPr>
      <w:r>
        <w:t>Businesses which Derive directly or indirectly more than de minimis gross revenue through the sale of products or services, or the presentation of any depictions or displays, of a prurient sexual nature.</w:t>
      </w:r>
    </w:p>
    <w:p w14:paraId="6600E571" w14:textId="77777777" w:rsidR="00996EE6" w:rsidRDefault="00996EE6" w:rsidP="00996EE6">
      <w:pPr>
        <w:pStyle w:val="ListParagraph"/>
        <w:numPr>
          <w:ilvl w:val="0"/>
          <w:numId w:val="10"/>
        </w:numPr>
      </w:pPr>
      <w:r>
        <w:t xml:space="preserve">Businesses that have previously defaulted on a </w:t>
      </w:r>
      <w:proofErr w:type="gramStart"/>
      <w:r>
        <w:t>Federal</w:t>
      </w:r>
      <w:proofErr w:type="gramEnd"/>
      <w:r>
        <w:t xml:space="preserve"> loan or Federally assisted financing. </w:t>
      </w:r>
    </w:p>
    <w:p w14:paraId="4B6F1CA8" w14:textId="77777777" w:rsidR="00996EE6" w:rsidRDefault="00996EE6" w:rsidP="00996EE6">
      <w:pPr>
        <w:pStyle w:val="ListParagraph"/>
        <w:numPr>
          <w:ilvl w:val="0"/>
          <w:numId w:val="10"/>
        </w:numPr>
      </w:pPr>
      <w:r>
        <w:t>Businesses primarily engaged in political or lobbying activities.</w:t>
      </w:r>
    </w:p>
    <w:p w14:paraId="1E850419" w14:textId="29E19CEC" w:rsidR="00996EE6" w:rsidRPr="00996EE6" w:rsidRDefault="00996EE6" w:rsidP="00996EE6">
      <w:pPr>
        <w:pStyle w:val="ListParagraph"/>
        <w:numPr>
          <w:ilvl w:val="0"/>
          <w:numId w:val="10"/>
        </w:numPr>
      </w:pPr>
      <w:r>
        <w:t>Speculative businesses (such as oil wildcatting).</w:t>
      </w:r>
    </w:p>
    <w:sectPr w:rsidR="00996EE6" w:rsidRPr="00996EE6" w:rsidSect="007401E1">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900F" w14:textId="77777777" w:rsidR="00A44E6D" w:rsidRDefault="00A44E6D" w:rsidP="001A2267">
      <w:pPr>
        <w:spacing w:after="0" w:line="240" w:lineRule="auto"/>
      </w:pPr>
      <w:r>
        <w:separator/>
      </w:r>
    </w:p>
  </w:endnote>
  <w:endnote w:type="continuationSeparator" w:id="0">
    <w:p w14:paraId="03D718E2" w14:textId="77777777" w:rsidR="00A44E6D" w:rsidRDefault="00A44E6D" w:rsidP="001A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772108"/>
      <w:docPartObj>
        <w:docPartGallery w:val="Page Numbers (Bottom of Page)"/>
        <w:docPartUnique/>
      </w:docPartObj>
    </w:sdtPr>
    <w:sdtEndPr>
      <w:rPr>
        <w:noProof/>
      </w:rPr>
    </w:sdtEndPr>
    <w:sdtContent>
      <w:p w14:paraId="0D06E783" w14:textId="6DD5C42F" w:rsidR="00004BFE" w:rsidRDefault="00004B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03ADEE" w14:textId="77777777" w:rsidR="00004BFE" w:rsidRDefault="0000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A5D2" w14:textId="77777777" w:rsidR="00A44E6D" w:rsidRDefault="00A44E6D" w:rsidP="001A2267">
      <w:pPr>
        <w:spacing w:after="0" w:line="240" w:lineRule="auto"/>
      </w:pPr>
      <w:r>
        <w:separator/>
      </w:r>
    </w:p>
  </w:footnote>
  <w:footnote w:type="continuationSeparator" w:id="0">
    <w:p w14:paraId="60E25E14" w14:textId="77777777" w:rsidR="00A44E6D" w:rsidRDefault="00A44E6D" w:rsidP="001A2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1DE"/>
    <w:multiLevelType w:val="hybridMultilevel"/>
    <w:tmpl w:val="5268E284"/>
    <w:lvl w:ilvl="0" w:tplc="A6E0568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3329E"/>
    <w:multiLevelType w:val="hybridMultilevel"/>
    <w:tmpl w:val="E294F868"/>
    <w:lvl w:ilvl="0" w:tplc="A6E0568A">
      <w:numFmt w:val="bullet"/>
      <w:lvlText w:val="•"/>
      <w:lvlJc w:val="left"/>
      <w:pPr>
        <w:ind w:left="1080" w:hanging="720"/>
      </w:pPr>
      <w:rPr>
        <w:rFonts w:ascii="Calibri" w:eastAsiaTheme="minorHAnsi" w:hAnsi="Calibri" w:cs="Calibri" w:hint="default"/>
      </w:rPr>
    </w:lvl>
    <w:lvl w:ilvl="1" w:tplc="6C66EF56">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E79E2"/>
    <w:multiLevelType w:val="hybridMultilevel"/>
    <w:tmpl w:val="F464429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13206376"/>
    <w:multiLevelType w:val="hybridMultilevel"/>
    <w:tmpl w:val="3148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57F92"/>
    <w:multiLevelType w:val="hybridMultilevel"/>
    <w:tmpl w:val="BD48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850E3"/>
    <w:multiLevelType w:val="hybridMultilevel"/>
    <w:tmpl w:val="BD806272"/>
    <w:lvl w:ilvl="0" w:tplc="A6E0568A">
      <w:numFmt w:val="bullet"/>
      <w:lvlText w:val="•"/>
      <w:lvlJc w:val="left"/>
      <w:pPr>
        <w:ind w:left="1080" w:hanging="720"/>
      </w:pPr>
      <w:rPr>
        <w:rFonts w:ascii="Calibri" w:eastAsiaTheme="minorHAnsi" w:hAnsi="Calibri" w:cs="Calibri" w:hint="default"/>
      </w:rPr>
    </w:lvl>
    <w:lvl w:ilvl="1" w:tplc="0D5E4AD8">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02629"/>
    <w:multiLevelType w:val="hybridMultilevel"/>
    <w:tmpl w:val="4E16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2646D"/>
    <w:multiLevelType w:val="hybridMultilevel"/>
    <w:tmpl w:val="F4D67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255397"/>
    <w:multiLevelType w:val="hybridMultilevel"/>
    <w:tmpl w:val="42AA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E76CE"/>
    <w:multiLevelType w:val="hybridMultilevel"/>
    <w:tmpl w:val="21368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E2078"/>
    <w:multiLevelType w:val="hybridMultilevel"/>
    <w:tmpl w:val="9CE445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515FE"/>
    <w:multiLevelType w:val="hybridMultilevel"/>
    <w:tmpl w:val="620AB532"/>
    <w:lvl w:ilvl="0" w:tplc="6F80DB7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9527A21"/>
    <w:multiLevelType w:val="hybridMultilevel"/>
    <w:tmpl w:val="42D2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A7BF0"/>
    <w:multiLevelType w:val="hybridMultilevel"/>
    <w:tmpl w:val="DAAA4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572E25"/>
    <w:multiLevelType w:val="hybridMultilevel"/>
    <w:tmpl w:val="6B60D3DE"/>
    <w:lvl w:ilvl="0" w:tplc="87DCA51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E70FBE"/>
    <w:multiLevelType w:val="hybridMultilevel"/>
    <w:tmpl w:val="B3E61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E94FF3"/>
    <w:multiLevelType w:val="hybridMultilevel"/>
    <w:tmpl w:val="E03263C4"/>
    <w:lvl w:ilvl="0" w:tplc="04090019">
      <w:start w:val="1"/>
      <w:numFmt w:val="lowerLetter"/>
      <w:lvlText w:val="%1."/>
      <w:lvlJc w:val="left"/>
      <w:pPr>
        <w:ind w:left="1080" w:hanging="720"/>
      </w:pPr>
      <w:rPr>
        <w:rFonts w:hint="default"/>
      </w:rPr>
    </w:lvl>
    <w:lvl w:ilvl="1" w:tplc="6C66EF56">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24D02"/>
    <w:multiLevelType w:val="hybridMultilevel"/>
    <w:tmpl w:val="253E0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D12920"/>
    <w:multiLevelType w:val="multilevel"/>
    <w:tmpl w:val="DFB60E74"/>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CFE6E2D"/>
    <w:multiLevelType w:val="hybridMultilevel"/>
    <w:tmpl w:val="E814D6A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65609B"/>
    <w:multiLevelType w:val="hybridMultilevel"/>
    <w:tmpl w:val="AD1A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7"/>
  </w:num>
  <w:num w:numId="5">
    <w:abstractNumId w:val="13"/>
  </w:num>
  <w:num w:numId="6">
    <w:abstractNumId w:val="2"/>
  </w:num>
  <w:num w:numId="7">
    <w:abstractNumId w:val="8"/>
  </w:num>
  <w:num w:numId="8">
    <w:abstractNumId w:val="1"/>
  </w:num>
  <w:num w:numId="9">
    <w:abstractNumId w:val="0"/>
  </w:num>
  <w:num w:numId="10">
    <w:abstractNumId w:val="5"/>
  </w:num>
  <w:num w:numId="11">
    <w:abstractNumId w:val="18"/>
  </w:num>
  <w:num w:numId="12">
    <w:abstractNumId w:val="9"/>
  </w:num>
  <w:num w:numId="13">
    <w:abstractNumId w:val="16"/>
  </w:num>
  <w:num w:numId="14">
    <w:abstractNumId w:val="6"/>
  </w:num>
  <w:num w:numId="15">
    <w:abstractNumId w:val="20"/>
  </w:num>
  <w:num w:numId="16">
    <w:abstractNumId w:val="17"/>
  </w:num>
  <w:num w:numId="17">
    <w:abstractNumId w:val="10"/>
  </w:num>
  <w:num w:numId="18">
    <w:abstractNumId w:val="19"/>
  </w:num>
  <w:num w:numId="19">
    <w:abstractNumId w:val="14"/>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7F"/>
    <w:rsid w:val="0000278A"/>
    <w:rsid w:val="00004BFE"/>
    <w:rsid w:val="00023E5D"/>
    <w:rsid w:val="000254AA"/>
    <w:rsid w:val="0002769C"/>
    <w:rsid w:val="000377D8"/>
    <w:rsid w:val="00037B2C"/>
    <w:rsid w:val="000529AF"/>
    <w:rsid w:val="000763FF"/>
    <w:rsid w:val="000A12B7"/>
    <w:rsid w:val="000A2C98"/>
    <w:rsid w:val="000C0581"/>
    <w:rsid w:val="000C1AFB"/>
    <w:rsid w:val="000C3043"/>
    <w:rsid w:val="000C57A5"/>
    <w:rsid w:val="000F2761"/>
    <w:rsid w:val="00100DE3"/>
    <w:rsid w:val="00102355"/>
    <w:rsid w:val="00150C3F"/>
    <w:rsid w:val="001514EE"/>
    <w:rsid w:val="0015525E"/>
    <w:rsid w:val="00165915"/>
    <w:rsid w:val="0016773A"/>
    <w:rsid w:val="0018416B"/>
    <w:rsid w:val="00195F12"/>
    <w:rsid w:val="001A2267"/>
    <w:rsid w:val="001E1FA6"/>
    <w:rsid w:val="001E3938"/>
    <w:rsid w:val="001E4272"/>
    <w:rsid w:val="001E67A4"/>
    <w:rsid w:val="00201032"/>
    <w:rsid w:val="00204574"/>
    <w:rsid w:val="00212B35"/>
    <w:rsid w:val="0021563C"/>
    <w:rsid w:val="00221859"/>
    <w:rsid w:val="00223E7C"/>
    <w:rsid w:val="002259E6"/>
    <w:rsid w:val="00233EAD"/>
    <w:rsid w:val="002A0CC3"/>
    <w:rsid w:val="002B30B0"/>
    <w:rsid w:val="002C43C3"/>
    <w:rsid w:val="002C5278"/>
    <w:rsid w:val="002D4F90"/>
    <w:rsid w:val="002D573B"/>
    <w:rsid w:val="002D77CB"/>
    <w:rsid w:val="002F6A67"/>
    <w:rsid w:val="00310E97"/>
    <w:rsid w:val="00316B47"/>
    <w:rsid w:val="00322235"/>
    <w:rsid w:val="00325968"/>
    <w:rsid w:val="00334A62"/>
    <w:rsid w:val="00337C5A"/>
    <w:rsid w:val="00337F65"/>
    <w:rsid w:val="00342BC1"/>
    <w:rsid w:val="0034338A"/>
    <w:rsid w:val="00350665"/>
    <w:rsid w:val="00352E46"/>
    <w:rsid w:val="003532FA"/>
    <w:rsid w:val="003541E0"/>
    <w:rsid w:val="00357E8E"/>
    <w:rsid w:val="003626F8"/>
    <w:rsid w:val="00367DA4"/>
    <w:rsid w:val="003711A1"/>
    <w:rsid w:val="00393F73"/>
    <w:rsid w:val="003A35E0"/>
    <w:rsid w:val="003B3B98"/>
    <w:rsid w:val="003C40C5"/>
    <w:rsid w:val="003C71A8"/>
    <w:rsid w:val="003D0AE3"/>
    <w:rsid w:val="003E5D9B"/>
    <w:rsid w:val="00400DA8"/>
    <w:rsid w:val="00411D13"/>
    <w:rsid w:val="00417E5B"/>
    <w:rsid w:val="004221DB"/>
    <w:rsid w:val="00427020"/>
    <w:rsid w:val="00431C0E"/>
    <w:rsid w:val="0043238B"/>
    <w:rsid w:val="00433F51"/>
    <w:rsid w:val="0044389F"/>
    <w:rsid w:val="00444723"/>
    <w:rsid w:val="004470B8"/>
    <w:rsid w:val="00455DC0"/>
    <w:rsid w:val="00463351"/>
    <w:rsid w:val="004636B3"/>
    <w:rsid w:val="004757A2"/>
    <w:rsid w:val="004B605C"/>
    <w:rsid w:val="004C3DCC"/>
    <w:rsid w:val="004D111B"/>
    <w:rsid w:val="004E0F97"/>
    <w:rsid w:val="004E6126"/>
    <w:rsid w:val="004E674B"/>
    <w:rsid w:val="004F1246"/>
    <w:rsid w:val="00527F75"/>
    <w:rsid w:val="00567613"/>
    <w:rsid w:val="005763F4"/>
    <w:rsid w:val="00583798"/>
    <w:rsid w:val="00586B33"/>
    <w:rsid w:val="005B33EF"/>
    <w:rsid w:val="005B6A1A"/>
    <w:rsid w:val="005C5814"/>
    <w:rsid w:val="005E199A"/>
    <w:rsid w:val="006068FE"/>
    <w:rsid w:val="00611BA9"/>
    <w:rsid w:val="00622722"/>
    <w:rsid w:val="00650444"/>
    <w:rsid w:val="006504C9"/>
    <w:rsid w:val="00673FFB"/>
    <w:rsid w:val="00677D3D"/>
    <w:rsid w:val="00685A5C"/>
    <w:rsid w:val="00692FDB"/>
    <w:rsid w:val="00694B16"/>
    <w:rsid w:val="00696455"/>
    <w:rsid w:val="007401E1"/>
    <w:rsid w:val="00750E27"/>
    <w:rsid w:val="00751562"/>
    <w:rsid w:val="0075671B"/>
    <w:rsid w:val="007C6F65"/>
    <w:rsid w:val="007E115D"/>
    <w:rsid w:val="008105F7"/>
    <w:rsid w:val="00837387"/>
    <w:rsid w:val="00842DE9"/>
    <w:rsid w:val="00844549"/>
    <w:rsid w:val="00847BEA"/>
    <w:rsid w:val="008566D9"/>
    <w:rsid w:val="0085787B"/>
    <w:rsid w:val="008738A8"/>
    <w:rsid w:val="008B2310"/>
    <w:rsid w:val="008F2A64"/>
    <w:rsid w:val="00912B0D"/>
    <w:rsid w:val="0091565F"/>
    <w:rsid w:val="00931766"/>
    <w:rsid w:val="00934B0E"/>
    <w:rsid w:val="0094350A"/>
    <w:rsid w:val="00955335"/>
    <w:rsid w:val="00965E79"/>
    <w:rsid w:val="00967CCF"/>
    <w:rsid w:val="00986DC1"/>
    <w:rsid w:val="00990298"/>
    <w:rsid w:val="009954C6"/>
    <w:rsid w:val="00996EE6"/>
    <w:rsid w:val="009A1AD7"/>
    <w:rsid w:val="009B5371"/>
    <w:rsid w:val="009B76F6"/>
    <w:rsid w:val="009C1283"/>
    <w:rsid w:val="009F2E08"/>
    <w:rsid w:val="009F5406"/>
    <w:rsid w:val="009F5EDF"/>
    <w:rsid w:val="009F7330"/>
    <w:rsid w:val="00A16236"/>
    <w:rsid w:val="00A16AD8"/>
    <w:rsid w:val="00A2182A"/>
    <w:rsid w:val="00A32332"/>
    <w:rsid w:val="00A44E6D"/>
    <w:rsid w:val="00A4799D"/>
    <w:rsid w:val="00A50A46"/>
    <w:rsid w:val="00A62716"/>
    <w:rsid w:val="00A91206"/>
    <w:rsid w:val="00A95932"/>
    <w:rsid w:val="00AB7EE6"/>
    <w:rsid w:val="00AC1EBA"/>
    <w:rsid w:val="00AD495A"/>
    <w:rsid w:val="00AF6477"/>
    <w:rsid w:val="00B07BB7"/>
    <w:rsid w:val="00B12ADD"/>
    <w:rsid w:val="00B213D7"/>
    <w:rsid w:val="00B503F7"/>
    <w:rsid w:val="00B66139"/>
    <w:rsid w:val="00B73ADF"/>
    <w:rsid w:val="00B73BAE"/>
    <w:rsid w:val="00B968C1"/>
    <w:rsid w:val="00BA3607"/>
    <w:rsid w:val="00BA7BF9"/>
    <w:rsid w:val="00BB43C6"/>
    <w:rsid w:val="00BD647E"/>
    <w:rsid w:val="00BE4CE2"/>
    <w:rsid w:val="00BE68EC"/>
    <w:rsid w:val="00BF54E2"/>
    <w:rsid w:val="00C0164D"/>
    <w:rsid w:val="00C2033D"/>
    <w:rsid w:val="00C21D4B"/>
    <w:rsid w:val="00C60113"/>
    <w:rsid w:val="00C809C6"/>
    <w:rsid w:val="00C97213"/>
    <w:rsid w:val="00CA3FAA"/>
    <w:rsid w:val="00CB0682"/>
    <w:rsid w:val="00CB4E01"/>
    <w:rsid w:val="00CC634D"/>
    <w:rsid w:val="00CD5193"/>
    <w:rsid w:val="00CE3CD7"/>
    <w:rsid w:val="00D11734"/>
    <w:rsid w:val="00D1448F"/>
    <w:rsid w:val="00D1477F"/>
    <w:rsid w:val="00D15D99"/>
    <w:rsid w:val="00D273B9"/>
    <w:rsid w:val="00D31288"/>
    <w:rsid w:val="00D37F31"/>
    <w:rsid w:val="00D4022B"/>
    <w:rsid w:val="00D52E6D"/>
    <w:rsid w:val="00D55397"/>
    <w:rsid w:val="00D6760F"/>
    <w:rsid w:val="00D67C36"/>
    <w:rsid w:val="00D82F94"/>
    <w:rsid w:val="00D85382"/>
    <w:rsid w:val="00D94375"/>
    <w:rsid w:val="00DA0FAA"/>
    <w:rsid w:val="00DE0179"/>
    <w:rsid w:val="00DE5B11"/>
    <w:rsid w:val="00E01F32"/>
    <w:rsid w:val="00E04DF3"/>
    <w:rsid w:val="00E26029"/>
    <w:rsid w:val="00E300E9"/>
    <w:rsid w:val="00E36B65"/>
    <w:rsid w:val="00E41D39"/>
    <w:rsid w:val="00E41F3A"/>
    <w:rsid w:val="00E4463E"/>
    <w:rsid w:val="00E4512E"/>
    <w:rsid w:val="00E47628"/>
    <w:rsid w:val="00E5021A"/>
    <w:rsid w:val="00E633FC"/>
    <w:rsid w:val="00E746FB"/>
    <w:rsid w:val="00E76592"/>
    <w:rsid w:val="00E83727"/>
    <w:rsid w:val="00E90AFF"/>
    <w:rsid w:val="00E95080"/>
    <w:rsid w:val="00EA0599"/>
    <w:rsid w:val="00EA2E24"/>
    <w:rsid w:val="00EA4D85"/>
    <w:rsid w:val="00EA5C6B"/>
    <w:rsid w:val="00EB19FC"/>
    <w:rsid w:val="00EC0E93"/>
    <w:rsid w:val="00EC5656"/>
    <w:rsid w:val="00EC67A0"/>
    <w:rsid w:val="00EE49F7"/>
    <w:rsid w:val="00EE6506"/>
    <w:rsid w:val="00EF6CE2"/>
    <w:rsid w:val="00F042A2"/>
    <w:rsid w:val="00F21E59"/>
    <w:rsid w:val="00F27E47"/>
    <w:rsid w:val="00F33332"/>
    <w:rsid w:val="00F51B92"/>
    <w:rsid w:val="00F60957"/>
    <w:rsid w:val="00F64BCB"/>
    <w:rsid w:val="00F7318D"/>
    <w:rsid w:val="00F82272"/>
    <w:rsid w:val="00F829F3"/>
    <w:rsid w:val="00FB54EC"/>
    <w:rsid w:val="00FC2876"/>
    <w:rsid w:val="00FC61C8"/>
    <w:rsid w:val="00FD1A30"/>
    <w:rsid w:val="00FD4F4A"/>
    <w:rsid w:val="00FD726F"/>
    <w:rsid w:val="00FE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DB92"/>
  <w15:chartTrackingRefBased/>
  <w15:docId w15:val="{FDAAF01F-62EE-47DF-AF13-56C73801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2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37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77F"/>
    <w:pPr>
      <w:ind w:left="720"/>
      <w:contextualSpacing/>
    </w:pPr>
  </w:style>
  <w:style w:type="paragraph" w:styleId="Header">
    <w:name w:val="header"/>
    <w:basedOn w:val="Normal"/>
    <w:link w:val="HeaderChar"/>
    <w:uiPriority w:val="99"/>
    <w:unhideWhenUsed/>
    <w:rsid w:val="001A2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267"/>
  </w:style>
  <w:style w:type="paragraph" w:styleId="Footer">
    <w:name w:val="footer"/>
    <w:basedOn w:val="Normal"/>
    <w:link w:val="FooterChar"/>
    <w:uiPriority w:val="99"/>
    <w:unhideWhenUsed/>
    <w:rsid w:val="001A2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267"/>
  </w:style>
  <w:style w:type="character" w:styleId="LineNumber">
    <w:name w:val="line number"/>
    <w:basedOn w:val="DefaultParagraphFont"/>
    <w:uiPriority w:val="99"/>
    <w:semiHidden/>
    <w:unhideWhenUsed/>
    <w:rsid w:val="001A2267"/>
  </w:style>
  <w:style w:type="character" w:customStyle="1" w:styleId="Heading1Char">
    <w:name w:val="Heading 1 Char"/>
    <w:basedOn w:val="DefaultParagraphFont"/>
    <w:link w:val="Heading1"/>
    <w:uiPriority w:val="9"/>
    <w:rsid w:val="001A226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A2267"/>
    <w:pPr>
      <w:outlineLvl w:val="9"/>
    </w:pPr>
  </w:style>
  <w:style w:type="character" w:customStyle="1" w:styleId="Heading2Char">
    <w:name w:val="Heading 2 Char"/>
    <w:basedOn w:val="DefaultParagraphFont"/>
    <w:link w:val="Heading2"/>
    <w:uiPriority w:val="9"/>
    <w:rsid w:val="001A2267"/>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1A2267"/>
    <w:pPr>
      <w:spacing w:after="100"/>
    </w:pPr>
  </w:style>
  <w:style w:type="paragraph" w:styleId="TOC2">
    <w:name w:val="toc 2"/>
    <w:basedOn w:val="Normal"/>
    <w:next w:val="Normal"/>
    <w:autoRedefine/>
    <w:uiPriority w:val="39"/>
    <w:unhideWhenUsed/>
    <w:rsid w:val="001A2267"/>
    <w:pPr>
      <w:spacing w:after="100"/>
      <w:ind w:left="220"/>
    </w:pPr>
  </w:style>
  <w:style w:type="character" w:styleId="Hyperlink">
    <w:name w:val="Hyperlink"/>
    <w:basedOn w:val="DefaultParagraphFont"/>
    <w:uiPriority w:val="99"/>
    <w:unhideWhenUsed/>
    <w:rsid w:val="001A2267"/>
    <w:rPr>
      <w:color w:val="0563C1" w:themeColor="hyperlink"/>
      <w:u w:val="single"/>
    </w:rPr>
  </w:style>
  <w:style w:type="table" w:styleId="TableGrid">
    <w:name w:val="Table Grid"/>
    <w:basedOn w:val="TableNormal"/>
    <w:uiPriority w:val="39"/>
    <w:rsid w:val="00FB5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4E6126"/>
    <w:pPr>
      <w:spacing w:after="0" w:line="240" w:lineRule="auto"/>
    </w:pPr>
    <w:rPr>
      <w:rFonts w:ascii="Times New Roman" w:eastAsia="Times New Roman" w:hAnsi="Times New Roman" w:cs="Times New Roman"/>
      <w:sz w:val="24"/>
      <w:szCs w:val="20"/>
    </w:rPr>
  </w:style>
  <w:style w:type="paragraph" w:customStyle="1" w:styleId="BodySingle">
    <w:name w:val="Body Single"/>
    <w:basedOn w:val="Normal"/>
    <w:rsid w:val="00E746FB"/>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583798"/>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7401E1"/>
    <w:pPr>
      <w:spacing w:after="0" w:line="240" w:lineRule="auto"/>
    </w:pPr>
    <w:rPr>
      <w:rFonts w:eastAsiaTheme="minorEastAsia"/>
    </w:rPr>
  </w:style>
  <w:style w:type="character" w:customStyle="1" w:styleId="NoSpacingChar">
    <w:name w:val="No Spacing Char"/>
    <w:basedOn w:val="DefaultParagraphFont"/>
    <w:link w:val="NoSpacing"/>
    <w:uiPriority w:val="1"/>
    <w:rsid w:val="007401E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17700">
      <w:bodyDiv w:val="1"/>
      <w:marLeft w:val="0"/>
      <w:marRight w:val="0"/>
      <w:marTop w:val="0"/>
      <w:marBottom w:val="0"/>
      <w:divBdr>
        <w:top w:val="none" w:sz="0" w:space="0" w:color="auto"/>
        <w:left w:val="none" w:sz="0" w:space="0" w:color="auto"/>
        <w:bottom w:val="none" w:sz="0" w:space="0" w:color="auto"/>
        <w:right w:val="none" w:sz="0" w:space="0" w:color="auto"/>
      </w:divBdr>
    </w:div>
    <w:div w:id="296492319">
      <w:bodyDiv w:val="1"/>
      <w:marLeft w:val="0"/>
      <w:marRight w:val="0"/>
      <w:marTop w:val="0"/>
      <w:marBottom w:val="0"/>
      <w:divBdr>
        <w:top w:val="none" w:sz="0" w:space="0" w:color="auto"/>
        <w:left w:val="none" w:sz="0" w:space="0" w:color="auto"/>
        <w:bottom w:val="none" w:sz="0" w:space="0" w:color="auto"/>
        <w:right w:val="none" w:sz="0" w:space="0" w:color="auto"/>
      </w:divBdr>
    </w:div>
    <w:div w:id="402719763">
      <w:bodyDiv w:val="1"/>
      <w:marLeft w:val="0"/>
      <w:marRight w:val="0"/>
      <w:marTop w:val="0"/>
      <w:marBottom w:val="0"/>
      <w:divBdr>
        <w:top w:val="none" w:sz="0" w:space="0" w:color="auto"/>
        <w:left w:val="none" w:sz="0" w:space="0" w:color="auto"/>
        <w:bottom w:val="none" w:sz="0" w:space="0" w:color="auto"/>
        <w:right w:val="none" w:sz="0" w:space="0" w:color="auto"/>
      </w:divBdr>
    </w:div>
    <w:div w:id="753625756">
      <w:bodyDiv w:val="1"/>
      <w:marLeft w:val="0"/>
      <w:marRight w:val="0"/>
      <w:marTop w:val="0"/>
      <w:marBottom w:val="0"/>
      <w:divBdr>
        <w:top w:val="none" w:sz="0" w:space="0" w:color="auto"/>
        <w:left w:val="none" w:sz="0" w:space="0" w:color="auto"/>
        <w:bottom w:val="none" w:sz="0" w:space="0" w:color="auto"/>
        <w:right w:val="none" w:sz="0" w:space="0" w:color="auto"/>
      </w:divBdr>
    </w:div>
    <w:div w:id="1244684838">
      <w:bodyDiv w:val="1"/>
      <w:marLeft w:val="0"/>
      <w:marRight w:val="0"/>
      <w:marTop w:val="0"/>
      <w:marBottom w:val="0"/>
      <w:divBdr>
        <w:top w:val="none" w:sz="0" w:space="0" w:color="auto"/>
        <w:left w:val="none" w:sz="0" w:space="0" w:color="auto"/>
        <w:bottom w:val="none" w:sz="0" w:space="0" w:color="auto"/>
        <w:right w:val="none" w:sz="0" w:space="0" w:color="auto"/>
      </w:divBdr>
    </w:div>
    <w:div w:id="1669482426">
      <w:bodyDiv w:val="1"/>
      <w:marLeft w:val="0"/>
      <w:marRight w:val="0"/>
      <w:marTop w:val="0"/>
      <w:marBottom w:val="0"/>
      <w:divBdr>
        <w:top w:val="none" w:sz="0" w:space="0" w:color="auto"/>
        <w:left w:val="none" w:sz="0" w:space="0" w:color="auto"/>
        <w:bottom w:val="none" w:sz="0" w:space="0" w:color="auto"/>
        <w:right w:val="none" w:sz="0" w:space="0" w:color="auto"/>
      </w:divBdr>
    </w:div>
    <w:div w:id="179832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685E3-6965-4C74-B5B8-1627C263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4185</Words>
  <Characters>23860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NCNMEDD Revolving Loan Fund Policy</dc:title>
  <dc:subject>July 23, 2021</dc:subject>
  <dc:creator>Keith Flyn</dc:creator>
  <cp:keywords/>
  <dc:description/>
  <cp:lastModifiedBy>Alison Turner</cp:lastModifiedBy>
  <cp:revision>3</cp:revision>
  <dcterms:created xsi:type="dcterms:W3CDTF">2021-07-27T14:55:00Z</dcterms:created>
  <dcterms:modified xsi:type="dcterms:W3CDTF">2021-07-27T14:56:00Z</dcterms:modified>
</cp:coreProperties>
</file>